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312" w:beforeLines="100" w:line="360" w:lineRule="auto"/>
        <w:jc w:val="center"/>
        <w:rPr>
          <w:rFonts w:hint="eastAsia" w:ascii="黑体" w:hAnsi="黑体" w:eastAsia="黑体" w:cs="黑体"/>
          <w:b w:val="0"/>
          <w:bCs/>
          <w:kern w:val="0"/>
          <w:sz w:val="44"/>
          <w:szCs w:val="44"/>
        </w:rPr>
      </w:pPr>
      <w:r>
        <w:rPr>
          <w:rFonts w:hint="eastAsia" w:ascii="黑体" w:hAnsi="黑体" w:eastAsia="黑体" w:cs="黑体"/>
          <w:color w:val="000000"/>
          <w:sz w:val="44"/>
          <w:szCs w:val="44"/>
          <w:u w:val="none"/>
          <w:shd w:val="clear" w:color="auto" w:fill="FFFFFF"/>
          <w:vertAlign w:val="baseline"/>
        </w:rPr>
        <w:t>苏州农商</w:t>
      </w:r>
      <w:r>
        <w:rPr>
          <w:rFonts w:hint="eastAsia" w:ascii="黑体" w:hAnsi="黑体" w:eastAsia="黑体" w:cs="黑体"/>
          <w:color w:val="000000"/>
          <w:sz w:val="44"/>
          <w:szCs w:val="44"/>
          <w:u w:val="none"/>
          <w:shd w:val="clear" w:color="auto" w:fill="FFFFFF"/>
          <w:vertAlign w:val="baseline"/>
          <w:lang w:val="en-US" w:eastAsia="zh-CN"/>
        </w:rPr>
        <w:t>银</w:t>
      </w:r>
      <w:r>
        <w:rPr>
          <w:rFonts w:hint="eastAsia" w:ascii="黑体" w:hAnsi="黑体" w:eastAsia="黑体" w:cs="黑体"/>
          <w:color w:val="000000"/>
          <w:sz w:val="44"/>
          <w:szCs w:val="44"/>
          <w:u w:val="none"/>
          <w:shd w:val="clear" w:color="auto" w:fill="FFFFFF"/>
          <w:vertAlign w:val="baseline"/>
        </w:rPr>
        <w:t>行</w:t>
      </w:r>
      <w:r>
        <w:rPr>
          <w:rFonts w:hint="eastAsia" w:ascii="黑体" w:hAnsi="黑体" w:eastAsia="黑体" w:cs="黑体"/>
          <w:b w:val="0"/>
          <w:bCs/>
          <w:kern w:val="0"/>
          <w:sz w:val="44"/>
          <w:szCs w:val="44"/>
        </w:rPr>
        <w:t>电子采购平台</w:t>
      </w:r>
    </w:p>
    <w:p>
      <w:pPr>
        <w:spacing w:line="360" w:lineRule="auto"/>
        <w:rPr>
          <w:rFonts w:asciiTheme="minorEastAsia" w:hAnsiTheme="minorEastAsia" w:eastAsiaTheme="minorEastAsia"/>
          <w:sz w:val="24"/>
          <w:szCs w:val="24"/>
        </w:rPr>
      </w:pPr>
    </w:p>
    <w:p>
      <w:pPr>
        <w:spacing w:line="360" w:lineRule="auto"/>
        <w:jc w:val="center"/>
        <w:rPr>
          <w:rFonts w:asciiTheme="minorEastAsia" w:hAnsiTheme="minorEastAsia" w:eastAsiaTheme="minorEastAsia"/>
          <w:sz w:val="24"/>
          <w:szCs w:val="24"/>
        </w:rPr>
      </w:pPr>
    </w:p>
    <w:p>
      <w:pPr>
        <w:spacing w:line="360" w:lineRule="auto"/>
        <w:jc w:val="center"/>
        <w:rPr>
          <w:rFonts w:asciiTheme="minorEastAsia" w:hAnsiTheme="minorEastAsia" w:eastAsiaTheme="minorEastAsia"/>
          <w:sz w:val="24"/>
          <w:szCs w:val="24"/>
        </w:rPr>
      </w:pP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供</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应</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商</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注</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册</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操</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作</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手</w:t>
      </w:r>
    </w:p>
    <w:p>
      <w:pPr>
        <w:autoSpaceDE w:val="0"/>
        <w:autoSpaceDN w:val="0"/>
        <w:adjustRightInd w:val="0"/>
        <w:spacing w:before="312" w:beforeLines="100" w:line="360" w:lineRule="auto"/>
        <w:jc w:val="center"/>
        <w:rPr>
          <w:rFonts w:cs="Arial" w:asciiTheme="minorEastAsia" w:hAnsiTheme="minorEastAsia" w:eastAsiaTheme="minorEastAsia"/>
          <w:b/>
          <w:kern w:val="0"/>
          <w:sz w:val="44"/>
          <w:szCs w:val="44"/>
        </w:rPr>
      </w:pPr>
      <w:r>
        <w:rPr>
          <w:rFonts w:hint="eastAsia" w:cs="Arial" w:asciiTheme="minorEastAsia" w:hAnsiTheme="minorEastAsia" w:eastAsiaTheme="minorEastAsia"/>
          <w:b/>
          <w:kern w:val="0"/>
          <w:sz w:val="44"/>
          <w:szCs w:val="44"/>
        </w:rPr>
        <w:t>册</w:t>
      </w:r>
    </w:p>
    <w:p>
      <w:pPr>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br w:type="page"/>
      </w:r>
    </w:p>
    <w:p>
      <w:pPr>
        <w:spacing w:line="360" w:lineRule="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文档说明</w:t>
      </w:r>
    </w:p>
    <w:p>
      <w:pPr>
        <w:spacing w:line="360" w:lineRule="auto"/>
        <w:ind w:firstLine="420" w:firstLineChars="200"/>
        <w:contextualSpacing/>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本文档为苏州农村商业银行股份有限公司（简称：苏州农商</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银</w:t>
      </w:r>
      <w:r>
        <w:rPr>
          <w:rFonts w:hint="eastAsia" w:ascii="宋体" w:hAnsi="宋体" w:eastAsia="宋体" w:cs="宋体"/>
          <w:b w:val="0"/>
          <w:bCs/>
          <w:color w:val="000000" w:themeColor="text1"/>
          <w:sz w:val="21"/>
          <w:szCs w:val="21"/>
          <w:highlight w:val="none"/>
          <w14:textFill>
            <w14:solidFill>
              <w14:schemeClr w14:val="tx1"/>
            </w14:solidFill>
          </w14:textFill>
        </w:rPr>
        <w:t>行）电子采购平台供应商管理平台撰写的用户手册。本文档主要用于指导供应商用户全面了解</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苏州农商银行</w:t>
      </w:r>
      <w:r>
        <w:rPr>
          <w:rFonts w:hint="eastAsia" w:ascii="宋体" w:hAnsi="宋体" w:eastAsia="宋体" w:cs="宋体"/>
          <w:b w:val="0"/>
          <w:bCs/>
          <w:color w:val="000000" w:themeColor="text1"/>
          <w:sz w:val="21"/>
          <w:szCs w:val="21"/>
          <w:highlight w:val="none"/>
          <w14:textFill>
            <w14:solidFill>
              <w14:schemeClr w14:val="tx1"/>
            </w14:solidFill>
          </w14:textFill>
        </w:rPr>
        <w:t>集采平台功能，规范使用系统。</w:t>
      </w:r>
    </w:p>
    <w:p>
      <w:pPr>
        <w:spacing w:line="360" w:lineRule="auto"/>
        <w:rPr>
          <w:rFonts w:hint="eastAsia" w:ascii="宋体" w:hAnsi="宋体" w:eastAsia="宋体" w:cs="宋体"/>
          <w:b w:val="0"/>
          <w:bCs/>
          <w:color w:val="000000" w:themeColor="text1"/>
          <w:sz w:val="21"/>
          <w:szCs w:val="21"/>
          <w:highlight w:val="none"/>
          <w14:textFill>
            <w14:solidFill>
              <w14:schemeClr w14:val="tx1"/>
            </w14:solidFill>
          </w14:textFill>
        </w:rPr>
      </w:pPr>
    </w:p>
    <w:p>
      <w:pPr>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zh-CN"/>
          <w14:textFill>
            <w14:solidFill>
              <w14:schemeClr w14:val="tx1"/>
            </w14:solidFill>
          </w14:textFill>
        </w:rPr>
        <w:br w:type="page"/>
      </w:r>
    </w:p>
    <w:p>
      <w:pPr>
        <w:spacing w:line="360" w:lineRule="auto"/>
        <w:jc w:val="center"/>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zh-CN"/>
          <w14:textFill>
            <w14:solidFill>
              <w14:schemeClr w14:val="tx1"/>
            </w14:solidFill>
          </w14:textFill>
        </w:rPr>
        <w:t>目　录</w:t>
      </w:r>
    </w:p>
    <w:p>
      <w:pPr>
        <w:spacing w:line="360" w:lineRule="auto"/>
        <w:jc w:val="center"/>
        <w:outlineLvl w:val="0"/>
        <w:rPr>
          <w:rFonts w:hint="eastAsia" w:ascii="宋体" w:hAnsi="宋体" w:eastAsia="宋体" w:cs="宋体"/>
          <w:b w:val="0"/>
          <w:bCs/>
          <w:color w:val="000000" w:themeColor="text1"/>
          <w:sz w:val="21"/>
          <w:szCs w:val="21"/>
          <w:highlight w:val="none"/>
          <w:lang w:val="zh-CN"/>
          <w14:textFill>
            <w14:solidFill>
              <w14:schemeClr w14:val="tx1"/>
            </w14:solidFill>
          </w14:textFill>
        </w:rPr>
      </w:pPr>
    </w:p>
    <w:p>
      <w:pPr>
        <w:pStyle w:val="10"/>
        <w:ind w:firstLine="480"/>
        <w:rPr>
          <w:rFonts w:hint="eastAsia" w:ascii="宋体" w:hAnsi="宋体" w:eastAsia="宋体" w:cs="宋体"/>
          <w:b w:val="0"/>
          <w:bCs/>
          <w:caps w:val="0"/>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TOC \o "1-4" \h \z \u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HYPERLINK \l "_Toc56265497"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Style w:val="15"/>
          <w:rFonts w:hint="eastAsia" w:ascii="宋体" w:hAnsi="宋体" w:eastAsia="宋体" w:cs="宋体"/>
          <w:b w:val="0"/>
          <w:bCs/>
          <w:color w:val="000000" w:themeColor="text1"/>
          <w:sz w:val="21"/>
          <w:szCs w:val="21"/>
          <w:highlight w:val="none"/>
          <w14:textFill>
            <w14:solidFill>
              <w14:schemeClr w14:val="tx1"/>
            </w14:solidFill>
          </w14:textFill>
        </w:rPr>
        <w:t>1</w:t>
      </w:r>
      <w:r>
        <w:rPr>
          <w:rFonts w:hint="eastAsia" w:ascii="宋体" w:hAnsi="宋体" w:eastAsia="宋体" w:cs="宋体"/>
          <w:b w:val="0"/>
          <w:bCs/>
          <w:caps w:val="0"/>
          <w:color w:val="000000" w:themeColor="text1"/>
          <w:sz w:val="21"/>
          <w:szCs w:val="21"/>
          <w:highlight w:val="none"/>
          <w14:textFill>
            <w14:solidFill>
              <w14:schemeClr w14:val="tx1"/>
            </w14:solidFill>
          </w14:textFill>
        </w:rPr>
        <w:tab/>
      </w:r>
      <w:r>
        <w:rPr>
          <w:rStyle w:val="15"/>
          <w:rFonts w:hint="eastAsia" w:ascii="宋体" w:hAnsi="宋体" w:eastAsia="宋体" w:cs="宋体"/>
          <w:b w:val="0"/>
          <w:bCs/>
          <w:color w:val="000000" w:themeColor="text1"/>
          <w:sz w:val="21"/>
          <w:szCs w:val="21"/>
          <w:highlight w:val="none"/>
          <w14:textFill>
            <w14:solidFill>
              <w14:schemeClr w14:val="tx1"/>
            </w14:solidFill>
          </w14:textFill>
        </w:rPr>
        <w:t>前言</w:t>
      </w: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PAGEREF _Toc56265497 \h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 w:val="0"/>
          <w:bCs/>
          <w:color w:val="000000" w:themeColor="text1"/>
          <w:sz w:val="21"/>
          <w:szCs w:val="21"/>
          <w:highlight w:val="none"/>
          <w14:textFill>
            <w14:solidFill>
              <w14:schemeClr w14:val="tx1"/>
            </w14:solidFill>
          </w14:textFill>
        </w:rPr>
        <w:t>3</w:t>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p>
    <w:p>
      <w:pPr>
        <w:pStyle w:val="10"/>
        <w:rPr>
          <w:rFonts w:hint="eastAsia" w:ascii="宋体" w:hAnsi="宋体" w:eastAsia="宋体" w:cs="宋体"/>
          <w:b w:val="0"/>
          <w:bCs/>
          <w:caps w:val="0"/>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HYPERLINK \l "_Toc56265498"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Style w:val="15"/>
          <w:rFonts w:hint="eastAsia" w:ascii="宋体" w:hAnsi="宋体" w:eastAsia="宋体" w:cs="宋体"/>
          <w:b w:val="0"/>
          <w:bCs/>
          <w:color w:val="000000" w:themeColor="text1"/>
          <w:sz w:val="21"/>
          <w:szCs w:val="21"/>
          <w:highlight w:val="none"/>
          <w14:textFill>
            <w14:solidFill>
              <w14:schemeClr w14:val="tx1"/>
            </w14:solidFill>
          </w14:textFill>
        </w:rPr>
        <w:t>2</w:t>
      </w:r>
      <w:r>
        <w:rPr>
          <w:rFonts w:hint="eastAsia" w:ascii="宋体" w:hAnsi="宋体" w:eastAsia="宋体" w:cs="宋体"/>
          <w:b w:val="0"/>
          <w:bCs/>
          <w:caps w:val="0"/>
          <w:color w:val="000000" w:themeColor="text1"/>
          <w:sz w:val="21"/>
          <w:szCs w:val="21"/>
          <w:highlight w:val="none"/>
          <w14:textFill>
            <w14:solidFill>
              <w14:schemeClr w14:val="tx1"/>
            </w14:solidFill>
          </w14:textFill>
        </w:rPr>
        <w:tab/>
      </w:r>
      <w:r>
        <w:rPr>
          <w:rStyle w:val="15"/>
          <w:rFonts w:hint="eastAsia" w:ascii="宋体" w:hAnsi="宋体" w:eastAsia="宋体" w:cs="宋体"/>
          <w:b w:val="0"/>
          <w:bCs/>
          <w:color w:val="000000" w:themeColor="text1"/>
          <w:sz w:val="21"/>
          <w:szCs w:val="21"/>
          <w:highlight w:val="none"/>
          <w14:textFill>
            <w14:solidFill>
              <w14:schemeClr w14:val="tx1"/>
            </w14:solidFill>
          </w14:textFill>
        </w:rPr>
        <w:t>系统登录与配置要求</w:t>
      </w: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PAGEREF _Toc56265498 \h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 w:val="0"/>
          <w:bCs/>
          <w:color w:val="000000" w:themeColor="text1"/>
          <w:sz w:val="21"/>
          <w:szCs w:val="21"/>
          <w:highlight w:val="none"/>
          <w14:textFill>
            <w14:solidFill>
              <w14:schemeClr w14:val="tx1"/>
            </w14:solidFill>
          </w14:textFill>
        </w:rPr>
        <w:t>4</w:t>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p>
    <w:p>
      <w:pPr>
        <w:pStyle w:val="12"/>
        <w:tabs>
          <w:tab w:val="left" w:pos="1260"/>
          <w:tab w:val="right" w:leader="dot" w:pos="8296"/>
        </w:tabs>
        <w:ind w:left="420" w:firstLine="210"/>
        <w:rPr>
          <w:rFonts w:hint="eastAsia" w:ascii="宋体" w:hAnsi="宋体" w:eastAsia="宋体" w:cs="宋体"/>
          <w:b w:val="0"/>
          <w:bCs/>
          <w:smallCaps w:val="0"/>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HYPERLINK \l "_Toc56265499"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Style w:val="15"/>
          <w:rFonts w:hint="eastAsia" w:ascii="宋体" w:hAnsi="宋体" w:eastAsia="宋体" w:cs="宋体"/>
          <w:b w:val="0"/>
          <w:bCs/>
          <w:color w:val="000000" w:themeColor="text1"/>
          <w:sz w:val="21"/>
          <w:szCs w:val="21"/>
          <w:highlight w:val="none"/>
          <w14:textFill>
            <w14:solidFill>
              <w14:schemeClr w14:val="tx1"/>
            </w14:solidFill>
          </w14:textFill>
        </w:rPr>
        <w:t>2.1</w:t>
      </w:r>
      <w:r>
        <w:rPr>
          <w:rFonts w:hint="eastAsia" w:ascii="宋体" w:hAnsi="宋体" w:eastAsia="宋体" w:cs="宋体"/>
          <w:b w:val="0"/>
          <w:bCs/>
          <w:smallCaps w:val="0"/>
          <w:color w:val="000000" w:themeColor="text1"/>
          <w:sz w:val="21"/>
          <w:szCs w:val="21"/>
          <w:highlight w:val="none"/>
          <w14:textFill>
            <w14:solidFill>
              <w14:schemeClr w14:val="tx1"/>
            </w14:solidFill>
          </w14:textFill>
        </w:rPr>
        <w:tab/>
      </w:r>
      <w:r>
        <w:rPr>
          <w:rStyle w:val="15"/>
          <w:rFonts w:hint="eastAsia" w:ascii="宋体" w:hAnsi="宋体" w:eastAsia="宋体" w:cs="宋体"/>
          <w:b w:val="0"/>
          <w:bCs/>
          <w:color w:val="000000" w:themeColor="text1"/>
          <w:sz w:val="21"/>
          <w:szCs w:val="21"/>
          <w:highlight w:val="none"/>
          <w14:textFill>
            <w14:solidFill>
              <w14:schemeClr w14:val="tx1"/>
            </w14:solidFill>
          </w14:textFill>
        </w:rPr>
        <w:t>浏览器设置要求</w:t>
      </w: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PAGEREF _Toc56265499 \h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 w:val="0"/>
          <w:bCs/>
          <w:color w:val="000000" w:themeColor="text1"/>
          <w:sz w:val="21"/>
          <w:szCs w:val="21"/>
          <w:highlight w:val="none"/>
          <w14:textFill>
            <w14:solidFill>
              <w14:schemeClr w14:val="tx1"/>
            </w14:solidFill>
          </w14:textFill>
        </w:rPr>
        <w:t>4</w:t>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p>
    <w:p>
      <w:pPr>
        <w:pStyle w:val="10"/>
        <w:rPr>
          <w:rFonts w:hint="eastAsia" w:ascii="宋体" w:hAnsi="宋体" w:eastAsia="宋体" w:cs="宋体"/>
          <w:b w:val="0"/>
          <w:bCs/>
          <w:caps w:val="0"/>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HYPERLINK \l "_Toc56265500"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Style w:val="15"/>
          <w:rFonts w:hint="eastAsia" w:ascii="宋体" w:hAnsi="宋体" w:eastAsia="宋体" w:cs="宋体"/>
          <w:b w:val="0"/>
          <w:bCs/>
          <w:color w:val="000000" w:themeColor="text1"/>
          <w:sz w:val="21"/>
          <w:szCs w:val="21"/>
          <w:highlight w:val="none"/>
          <w14:textFill>
            <w14:solidFill>
              <w14:schemeClr w14:val="tx1"/>
            </w14:solidFill>
          </w14:textFill>
        </w:rPr>
        <w:t>3</w:t>
      </w:r>
      <w:r>
        <w:rPr>
          <w:rFonts w:hint="eastAsia" w:ascii="宋体" w:hAnsi="宋体" w:eastAsia="宋体" w:cs="宋体"/>
          <w:b w:val="0"/>
          <w:bCs/>
          <w:caps w:val="0"/>
          <w:color w:val="000000" w:themeColor="text1"/>
          <w:sz w:val="21"/>
          <w:szCs w:val="21"/>
          <w:highlight w:val="none"/>
          <w14:textFill>
            <w14:solidFill>
              <w14:schemeClr w14:val="tx1"/>
            </w14:solidFill>
          </w14:textFill>
        </w:rPr>
        <w:tab/>
      </w:r>
      <w:r>
        <w:rPr>
          <w:rStyle w:val="15"/>
          <w:rFonts w:hint="eastAsia" w:ascii="宋体" w:hAnsi="宋体" w:eastAsia="宋体" w:cs="宋体"/>
          <w:b w:val="0"/>
          <w:bCs/>
          <w:color w:val="000000" w:themeColor="text1"/>
          <w:sz w:val="21"/>
          <w:szCs w:val="21"/>
          <w:highlight w:val="none"/>
          <w14:textFill>
            <w14:solidFill>
              <w14:schemeClr w14:val="tx1"/>
            </w14:solidFill>
          </w14:textFill>
        </w:rPr>
        <w:t>功能业务</w:t>
      </w: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PAGEREF _Toc56265500 \h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 w:val="0"/>
          <w:bCs/>
          <w:color w:val="000000" w:themeColor="text1"/>
          <w:sz w:val="21"/>
          <w:szCs w:val="21"/>
          <w:highlight w:val="none"/>
          <w14:textFill>
            <w14:solidFill>
              <w14:schemeClr w14:val="tx1"/>
            </w14:solidFill>
          </w14:textFill>
        </w:rPr>
        <w:t>4</w:t>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p>
    <w:p>
      <w:pPr>
        <w:pStyle w:val="7"/>
        <w:tabs>
          <w:tab w:val="left" w:pos="1680"/>
        </w:tabs>
        <w:ind w:left="630" w:firstLine="210"/>
        <w:rPr>
          <w:rFonts w:hint="eastAsia" w:ascii="宋体" w:hAnsi="宋体" w:eastAsia="宋体" w:cs="宋体"/>
          <w:b w:val="0"/>
          <w:bCs/>
          <w:iCs w:val="0"/>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HYPERLINK \l "_Toc56265501"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Style w:val="15"/>
          <w:rFonts w:hint="eastAsia" w:ascii="宋体" w:hAnsi="宋体" w:eastAsia="宋体" w:cs="宋体"/>
          <w:b w:val="0"/>
          <w:bCs/>
          <w:color w:val="000000" w:themeColor="text1"/>
          <w:sz w:val="21"/>
          <w:szCs w:val="21"/>
          <w:highlight w:val="none"/>
          <w14:textFill>
            <w14:solidFill>
              <w14:schemeClr w14:val="tx1"/>
            </w14:solidFill>
          </w14:textFill>
        </w:rPr>
        <w:t>3.1.1</w:t>
      </w:r>
      <w:r>
        <w:rPr>
          <w:rFonts w:hint="eastAsia" w:ascii="宋体" w:hAnsi="宋体" w:eastAsia="宋体" w:cs="宋体"/>
          <w:b w:val="0"/>
          <w:bCs/>
          <w:iCs w:val="0"/>
          <w:color w:val="000000" w:themeColor="text1"/>
          <w:sz w:val="21"/>
          <w:szCs w:val="21"/>
          <w:highlight w:val="none"/>
          <w14:textFill>
            <w14:solidFill>
              <w14:schemeClr w14:val="tx1"/>
            </w14:solidFill>
          </w14:textFill>
        </w:rPr>
        <w:tab/>
      </w:r>
      <w:r>
        <w:rPr>
          <w:rStyle w:val="15"/>
          <w:rFonts w:hint="eastAsia" w:ascii="宋体" w:hAnsi="宋体" w:eastAsia="宋体" w:cs="宋体"/>
          <w:b w:val="0"/>
          <w:bCs/>
          <w:color w:val="000000" w:themeColor="text1"/>
          <w:sz w:val="21"/>
          <w:szCs w:val="21"/>
          <w:highlight w:val="none"/>
          <w14:textFill>
            <w14:solidFill>
              <w14:schemeClr w14:val="tx1"/>
            </w14:solidFill>
          </w14:textFill>
        </w:rPr>
        <w:t>供应商注册</w:t>
      </w: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fldChar w:fldCharType="begin"/>
      </w:r>
      <w:r>
        <w:rPr>
          <w:rFonts w:hint="eastAsia" w:ascii="宋体" w:hAnsi="宋体" w:eastAsia="宋体" w:cs="宋体"/>
          <w:b w:val="0"/>
          <w:bCs/>
          <w:color w:val="000000" w:themeColor="text1"/>
          <w:sz w:val="21"/>
          <w:szCs w:val="21"/>
          <w:highlight w:val="none"/>
          <w14:textFill>
            <w14:solidFill>
              <w14:schemeClr w14:val="tx1"/>
            </w14:solidFill>
          </w14:textFill>
        </w:rPr>
        <w:instrText xml:space="preserve"> PAGEREF _Toc56265501 \h </w:instrText>
      </w:r>
      <w:r>
        <w:rPr>
          <w:rFonts w:hint="eastAsia" w:ascii="宋体" w:hAnsi="宋体" w:eastAsia="宋体" w:cs="宋体"/>
          <w:b w:val="0"/>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 w:val="0"/>
          <w:bCs/>
          <w:color w:val="000000" w:themeColor="text1"/>
          <w:sz w:val="21"/>
          <w:szCs w:val="21"/>
          <w:highlight w:val="none"/>
          <w14:textFill>
            <w14:solidFill>
              <w14:schemeClr w14:val="tx1"/>
            </w14:solidFill>
          </w14:textFill>
        </w:rPr>
        <w:t>4</w:t>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r>
        <w:rPr>
          <w:rFonts w:hint="eastAsia" w:ascii="宋体" w:hAnsi="宋体" w:eastAsia="宋体" w:cs="宋体"/>
          <w:b w:val="0"/>
          <w:bCs/>
          <w:color w:val="000000" w:themeColor="text1"/>
          <w:sz w:val="21"/>
          <w:szCs w:val="21"/>
          <w:highlight w:val="none"/>
          <w14:textFill>
            <w14:solidFill>
              <w14:schemeClr w14:val="tx1"/>
            </w14:solidFill>
          </w14:textFill>
        </w:rPr>
        <w:fldChar w:fldCharType="end"/>
      </w: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r>
        <w:rPr>
          <w:rFonts w:hint="eastAsia" w:ascii="宋体" w:hAnsi="宋体" w:eastAsia="宋体" w:cs="宋体"/>
          <w:b w:val="0"/>
          <w:bCs/>
          <w:caps/>
          <w:color w:val="000000" w:themeColor="text1"/>
          <w:sz w:val="21"/>
          <w:szCs w:val="21"/>
          <w:highlight w:val="none"/>
          <w14:textFill>
            <w14:solidFill>
              <w14:schemeClr w14:val="tx1"/>
            </w14:solidFill>
          </w14:textFill>
        </w:rPr>
        <w:fldChar w:fldCharType="end"/>
      </w: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spacing w:line="360" w:lineRule="auto"/>
        <w:jc w:val="center"/>
        <w:rPr>
          <w:rFonts w:hint="eastAsia" w:ascii="宋体" w:hAnsi="宋体" w:eastAsia="宋体" w:cs="宋体"/>
          <w:b w:val="0"/>
          <w:bCs/>
          <w:caps/>
          <w:color w:val="000000" w:themeColor="text1"/>
          <w:sz w:val="21"/>
          <w:szCs w:val="21"/>
          <w:highlight w:val="none"/>
          <w14:textFill>
            <w14:solidFill>
              <w14:schemeClr w14:val="tx1"/>
            </w14:solidFill>
          </w14:textFill>
        </w:rPr>
      </w:pPr>
    </w:p>
    <w:p>
      <w:pPr>
        <w:rPr>
          <w:rFonts w:hint="eastAsia" w:ascii="宋体" w:hAnsi="宋体" w:eastAsia="宋体" w:cs="宋体"/>
          <w:b w:val="0"/>
          <w:bCs/>
          <w:color w:val="000000" w:themeColor="text1"/>
          <w:sz w:val="21"/>
          <w:szCs w:val="21"/>
          <w:highlight w:val="none"/>
          <w14:textFill>
            <w14:solidFill>
              <w14:schemeClr w14:val="tx1"/>
            </w14:solidFill>
          </w14:textFill>
        </w:rPr>
      </w:pPr>
      <w:bookmarkStart w:id="0" w:name="_Toc366150699"/>
      <w:bookmarkStart w:id="1" w:name="_Toc56265497"/>
      <w:r>
        <w:rPr>
          <w:rFonts w:hint="eastAsia" w:ascii="宋体" w:hAnsi="宋体" w:eastAsia="宋体" w:cs="宋体"/>
          <w:b w:val="0"/>
          <w:bCs/>
          <w:color w:val="000000" w:themeColor="text1"/>
          <w:sz w:val="21"/>
          <w:szCs w:val="21"/>
          <w:highlight w:val="none"/>
          <w14:textFill>
            <w14:solidFill>
              <w14:schemeClr w14:val="tx1"/>
            </w14:solidFill>
          </w14:textFill>
        </w:rPr>
        <w:br w:type="page"/>
      </w:r>
    </w:p>
    <w:p>
      <w:pPr>
        <w:pStyle w:val="2"/>
        <w:pageBreakBefore w:val="0"/>
        <w:kinsoku/>
        <w:wordWrap/>
        <w:topLinePunct w:val="0"/>
        <w:bidi w:val="0"/>
        <w:snapToGrid/>
        <w:spacing w:beforeLines="0" w:afterLines="0"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前言</w:t>
      </w:r>
      <w:bookmarkEnd w:id="0"/>
      <w:bookmarkEnd w:id="1"/>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此用户手册主要用于描述引导供应商用户进行注册操作。</w:t>
      </w:r>
    </w:p>
    <w:p>
      <w:pPr>
        <w:pStyle w:val="2"/>
        <w:pageBreakBefore w:val="0"/>
        <w:kinsoku/>
        <w:wordWrap/>
        <w:topLinePunct w:val="0"/>
        <w:bidi w:val="0"/>
        <w:snapToGrid/>
        <w:spacing w:beforeLines="0" w:afterLines="0"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bookmarkStart w:id="2" w:name="_Toc56265498"/>
      <w:bookmarkStart w:id="3" w:name="_Toc366150709"/>
      <w:r>
        <w:rPr>
          <w:rFonts w:hint="eastAsia" w:ascii="宋体" w:hAnsi="宋体" w:eastAsia="宋体" w:cs="宋体"/>
          <w:b w:val="0"/>
          <w:bCs/>
          <w:color w:val="000000" w:themeColor="text1"/>
          <w:sz w:val="21"/>
          <w:szCs w:val="21"/>
          <w:highlight w:val="none"/>
          <w14:textFill>
            <w14:solidFill>
              <w14:schemeClr w14:val="tx1"/>
            </w14:solidFill>
          </w14:textFill>
        </w:rPr>
        <w:t>系统登录与配置要求</w:t>
      </w:r>
      <w:bookmarkEnd w:id="2"/>
      <w:bookmarkEnd w:id="3"/>
    </w:p>
    <w:p>
      <w:pPr>
        <w:pStyle w:val="3"/>
        <w:pageBreakBefore w:val="0"/>
        <w:kinsoku/>
        <w:wordWrap/>
        <w:topLinePunct w:val="0"/>
        <w:bidi w:val="0"/>
        <w:snapToGrid/>
        <w:spacing w:beforeLines="0" w:afterLines="0"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bookmarkStart w:id="4" w:name="_Toc56265499"/>
      <w:bookmarkStart w:id="5" w:name="_Toc366150711"/>
      <w:r>
        <w:rPr>
          <w:rFonts w:hint="eastAsia" w:ascii="宋体" w:hAnsi="宋体" w:eastAsia="宋体" w:cs="宋体"/>
          <w:b w:val="0"/>
          <w:bCs/>
          <w:color w:val="000000" w:themeColor="text1"/>
          <w:sz w:val="21"/>
          <w:szCs w:val="21"/>
          <w:highlight w:val="none"/>
          <w14:textFill>
            <w14:solidFill>
              <w14:schemeClr w14:val="tx1"/>
            </w14:solidFill>
          </w14:textFill>
        </w:rPr>
        <w:t>浏览器设置要求</w:t>
      </w:r>
      <w:bookmarkEnd w:id="4"/>
      <w:bookmarkEnd w:id="5"/>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目前供应商管理系统支持的浏览器包括： 360安全浏览器、谷歌（google chrome）浏览器等。</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推荐使用谷歌（google chrome）浏览器。</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360安全浏览器需要调整为极速模式，设置方法如下：</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drawing>
          <wp:inline distT="0" distB="0" distL="114300" distR="114300">
            <wp:extent cx="5269865" cy="2857500"/>
            <wp:effectExtent l="0" t="0" r="317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69865" cy="2857500"/>
                    </a:xfrm>
                    <a:prstGeom prst="rect">
                      <a:avLst/>
                    </a:prstGeom>
                    <a:noFill/>
                    <a:ln>
                      <a:noFill/>
                    </a:ln>
                  </pic:spPr>
                </pic:pic>
              </a:graphicData>
            </a:graphic>
          </wp:inline>
        </w:drawing>
      </w:r>
    </w:p>
    <w:p>
      <w:pPr>
        <w:pStyle w:val="2"/>
        <w:pageBreakBefore w:val="0"/>
        <w:kinsoku/>
        <w:wordWrap/>
        <w:topLinePunct w:val="0"/>
        <w:bidi w:val="0"/>
        <w:snapToGrid/>
        <w:spacing w:beforeLines="0" w:afterLines="0"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bookmarkStart w:id="6" w:name="_Toc56265500"/>
      <w:r>
        <w:rPr>
          <w:rFonts w:hint="eastAsia" w:ascii="宋体" w:hAnsi="宋体" w:eastAsia="宋体" w:cs="宋体"/>
          <w:b w:val="0"/>
          <w:bCs/>
          <w:color w:val="000000" w:themeColor="text1"/>
          <w:sz w:val="21"/>
          <w:szCs w:val="21"/>
          <w:highlight w:val="none"/>
          <w14:textFill>
            <w14:solidFill>
              <w14:schemeClr w14:val="tx1"/>
            </w14:solidFill>
          </w14:textFill>
        </w:rPr>
        <w:t>功能业务</w:t>
      </w:r>
      <w:bookmarkEnd w:id="6"/>
    </w:p>
    <w:p>
      <w:pPr>
        <w:pStyle w:val="4"/>
        <w:pageBreakBefore w:val="0"/>
        <w:kinsoku/>
        <w:wordWrap/>
        <w:topLinePunct w:val="0"/>
        <w:bidi w:val="0"/>
        <w:snapToGrid/>
        <w:spacing w:beforeLines="0" w:afterLines="0"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bookmarkStart w:id="7" w:name="_Toc56265501"/>
      <w:r>
        <w:rPr>
          <w:rFonts w:hint="eastAsia" w:ascii="宋体" w:hAnsi="宋体" w:eastAsia="宋体" w:cs="宋体"/>
          <w:b w:val="0"/>
          <w:bCs/>
          <w:color w:val="000000" w:themeColor="text1"/>
          <w:sz w:val="21"/>
          <w:szCs w:val="21"/>
          <w:highlight w:val="none"/>
          <w14:textFill>
            <w14:solidFill>
              <w14:schemeClr w14:val="tx1"/>
            </w14:solidFill>
          </w14:textFill>
        </w:rPr>
        <w:t>供应商注册</w:t>
      </w:r>
      <w:bookmarkEnd w:id="7"/>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输入访问地址https://cggl.szrcb.com即可进入到首页，如图所示：</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drawing>
          <wp:inline distT="0" distB="0" distL="114300" distR="114300">
            <wp:extent cx="5274310" cy="2963545"/>
            <wp:effectExtent l="0" t="0" r="13970" b="825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5"/>
                    <a:stretch>
                      <a:fillRect/>
                    </a:stretch>
                  </pic:blipFill>
                  <pic:spPr>
                    <a:xfrm>
                      <a:off x="0" y="0"/>
                      <a:ext cx="5274310" cy="2963545"/>
                    </a:xfrm>
                    <a:prstGeom prst="rect">
                      <a:avLst/>
                    </a:prstGeom>
                  </pic:spPr>
                </pic:pic>
              </a:graphicData>
            </a:graphic>
          </wp:inline>
        </w:drawing>
      </w:r>
    </w:p>
    <w:p>
      <w:pPr>
        <w:pStyle w:val="23"/>
        <w:pageBreakBefore w:val="0"/>
        <w:numPr>
          <w:ilvl w:val="0"/>
          <w:numId w:val="2"/>
        </w:numPr>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第一步：供应商注册必读</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点击“注册”按钮即可进入到注册界面，查看到“供应商注册必读”如图所示：</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5349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253492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Style w:val="23"/>
        <w:pageBreakBefore w:val="0"/>
        <w:numPr>
          <w:ilvl w:val="0"/>
          <w:numId w:val="2"/>
        </w:numPr>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第二步：基本信息填写</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t>阅读完手册之后，点击“下一步”按钮，即可进入到“企业用户注册”界面，如图所示：</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drawing>
          <wp:inline distT="0" distB="0" distL="114300" distR="114300">
            <wp:extent cx="5269865" cy="2171700"/>
            <wp:effectExtent l="0" t="0" r="3175" b="762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7"/>
                    <a:stretch>
                      <a:fillRect/>
                    </a:stretch>
                  </pic:blipFill>
                  <pic:spPr>
                    <a:xfrm>
                      <a:off x="0" y="0"/>
                      <a:ext cx="5269865" cy="217170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1463040"/>
            <wp:effectExtent l="0" t="0" r="254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
                    <a:stretch>
                      <a:fillRect/>
                    </a:stretch>
                  </pic:blipFill>
                  <pic:spPr>
                    <a:xfrm>
                      <a:off x="0" y="0"/>
                      <a:ext cx="5274310" cy="146304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t>注：在“企业用户注册”界面，选择机构类型时，企业选择对应的企业类型，同时“机构名称”及“统一社会信用代码”要与营业执照上的名称保持一致，否则系统验证将不通过。</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如个人供应商则需要选择“自然人”选项，填写正确的姓名及身份证号码。</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输入移动电话，获取验证码进行手机校验，填写正确的用户名、密码（此用户密码为登录时用户名、密码），验证码信息后，点击“下一步”按钮即可进入到完善企业信息界面。</w:t>
      </w:r>
    </w:p>
    <w:p>
      <w:pPr>
        <w:pStyle w:val="23"/>
        <w:pageBreakBefore w:val="0"/>
        <w:numPr>
          <w:ilvl w:val="0"/>
          <w:numId w:val="2"/>
        </w:numPr>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第三步：完善企业信息</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drawing>
          <wp:inline distT="0" distB="0" distL="114300" distR="114300">
            <wp:extent cx="5274310" cy="2593340"/>
            <wp:effectExtent l="0" t="0" r="13970" b="12700"/>
            <wp:docPr id="19" name="图片 1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
                    <pic:cNvPicPr>
                      <a:picLocks noChangeAspect="1"/>
                    </pic:cNvPicPr>
                  </pic:nvPicPr>
                  <pic:blipFill>
                    <a:blip r:embed="rId9"/>
                    <a:stretch>
                      <a:fillRect/>
                    </a:stretch>
                  </pic:blipFill>
                  <pic:spPr>
                    <a:xfrm>
                      <a:off x="0" y="0"/>
                      <a:ext cx="5274310" cy="259334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9146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0"/>
                    <a:stretch>
                      <a:fillRect/>
                    </a:stretch>
                  </pic:blipFill>
                  <pic:spPr>
                    <a:xfrm>
                      <a:off x="0" y="0"/>
                      <a:ext cx="5274310" cy="291465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t>在“完善企业信息”界面，需要完善机构基本信息、机构信息、联系信息、银行基本账户信息等基础信息。</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t>注：机构信息中预审单位名称中选择“总行”。</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 xml:space="preserve">    银行基本账户信息中如是企业用户需要正确填写基本账户的账户信息，自然用户需填写个人银行信息。</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完成后点击“下一步”即可进入到，“资质文件”界面，如图所示：</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drawing>
          <wp:inline distT="0" distB="0" distL="114300" distR="114300">
            <wp:extent cx="5274310" cy="1995170"/>
            <wp:effectExtent l="0" t="0" r="13970" b="1270"/>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11"/>
                    <a:stretch>
                      <a:fillRect/>
                    </a:stretch>
                  </pic:blipFill>
                  <pic:spPr>
                    <a:xfrm>
                      <a:off x="0" y="0"/>
                      <a:ext cx="5274310" cy="199517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96075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2"/>
                    <a:stretch>
                      <a:fillRect/>
                    </a:stretch>
                  </pic:blipFill>
                  <pic:spPr>
                    <a:xfrm>
                      <a:off x="0" y="0"/>
                      <a:ext cx="5274310" cy="960755"/>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t>在“资质文件”界面中需下载承诺书模板及声明模板（红色框区域进行下载）下载打印签字盖章后扫描或拍照上传到其他资质文件中。</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同时需要将企业相关资质文件：营业执照、法人身份证复印件、开户许可证进行上传。上传完成后并勾选“注册免责声明”，点击“提交”按钮即可进入审核流程。</w:t>
      </w:r>
    </w:p>
    <w:p>
      <w:pPr>
        <w:pStyle w:val="23"/>
        <w:pageBreakBefore w:val="0"/>
        <w:numPr>
          <w:ilvl w:val="0"/>
          <w:numId w:val="2"/>
        </w:numPr>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第四步：等待审核</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drawing>
          <wp:inline distT="0" distB="0" distL="114300" distR="114300">
            <wp:extent cx="5274310" cy="1874520"/>
            <wp:effectExtent l="0" t="0" r="13970" b="0"/>
            <wp:docPr id="21" name="图片 2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6"/>
                    <pic:cNvPicPr>
                      <a:picLocks noChangeAspect="1"/>
                    </pic:cNvPicPr>
                  </pic:nvPicPr>
                  <pic:blipFill>
                    <a:blip r:embed="rId13"/>
                    <a:stretch>
                      <a:fillRect/>
                    </a:stretch>
                  </pic:blipFill>
                  <pic:spPr>
                    <a:xfrm>
                      <a:off x="0" y="0"/>
                      <a:ext cx="5274310" cy="187452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注册审核完成后点击左上角跳转到首页进行登录操作，（用户名密码为企业用户注册界面输入的用户名、密码）如图所示：</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drawing>
          <wp:inline distT="0" distB="0" distL="114300" distR="114300">
            <wp:extent cx="5269865" cy="2025650"/>
            <wp:effectExtent l="0" t="0" r="3175" b="1270"/>
            <wp:docPr id="22" name="图片 2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7"/>
                    <pic:cNvPicPr>
                      <a:picLocks noChangeAspect="1"/>
                    </pic:cNvPicPr>
                  </pic:nvPicPr>
                  <pic:blipFill>
                    <a:blip r:embed="rId14"/>
                    <a:stretch>
                      <a:fillRect/>
                    </a:stretch>
                  </pic:blipFill>
                  <pic:spPr>
                    <a:xfrm>
                      <a:off x="0" y="0"/>
                      <a:ext cx="5269865" cy="202565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32600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326009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Style w:val="23"/>
        <w:pageBreakBefore w:val="0"/>
        <w:numPr>
          <w:ilvl w:val="0"/>
          <w:numId w:val="2"/>
        </w:numPr>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第五步：供应商准入申请</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登录成功后，进入供应商管理后台平台，如图所示：</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8467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2846705"/>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进入供应商后台后，进入企业信息管理-&gt;供应商准入菜单进行供货类别的申请，供应商需根据企业实际经营的分类来申请供什么类型产品分类。申请通过后，才能参与该分类的业务活动，请供应商按照实际供货情况进行选择。</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9210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4310" cy="292100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点击新增按钮进入预审申请（产品类别申请）：</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5400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254000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点击目录准入编码，弹出选择目录准入单位页面，选择“总行部室”，确定：</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933065"/>
            <wp:effectExtent l="0" t="0" r="1397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74310" cy="2933065"/>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点击确定后，下面页面出现准入目录列表，如下图：</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891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289179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点击选择按钮，进入选择目录操作，可以多选，如供应商不清楚选择哪个目录，可以在标的物名称输入具体产品名称（或产品关键字）进行检索对应的产品所属类别。</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931160"/>
            <wp:effectExtent l="0" t="0" r="1397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931160"/>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94322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2943225"/>
                    </a:xfrm>
                    <a:prstGeom prst="rect">
                      <a:avLst/>
                    </a:prstGeom>
                  </pic:spPr>
                </pic:pic>
              </a:graphicData>
            </a:graphic>
          </wp:inline>
        </w:drawing>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提交后，返回到供应商准入列表页面，可以需要上传的资质文件，文件上传完毕后提交，查看审核状态，审核通过后就可以参与对应产品类型的采购业务。</w:t>
      </w: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ab/>
      </w:r>
      <w:bookmarkStart w:id="8" w:name="_GoBack"/>
      <w:r>
        <w:rPr>
          <w:rFonts w:hint="eastAsia" w:ascii="宋体" w:hAnsi="宋体" w:eastAsia="宋体" w:cs="宋体"/>
          <w:b w:val="0"/>
          <w:bCs/>
          <w:color w:val="000000" w:themeColor="text1"/>
          <w:sz w:val="21"/>
          <w:szCs w:val="21"/>
          <w:highlight w:val="none"/>
          <w14:textFill>
            <w14:solidFill>
              <w14:schemeClr w14:val="tx1"/>
            </w14:solidFill>
          </w14:textFill>
        </w:rPr>
        <w:drawing>
          <wp:inline distT="0" distB="0" distL="0" distR="0">
            <wp:extent cx="5274310" cy="29063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2906395"/>
                    </a:xfrm>
                    <a:prstGeom prst="rect">
                      <a:avLst/>
                    </a:prstGeom>
                  </pic:spPr>
                </pic:pic>
              </a:graphicData>
            </a:graphic>
          </wp:inline>
        </w:drawing>
      </w:r>
      <w:bookmarkEnd w:id="8"/>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p>
    <w:p>
      <w:pPr>
        <w:pageBreakBefore w:val="0"/>
        <w:kinsoku/>
        <w:wordWrap/>
        <w:topLinePunct w:val="0"/>
        <w:bidi w:val="0"/>
        <w:snapToGrid/>
        <w:spacing w:line="360" w:lineRule="auto"/>
        <w:ind w:left="0"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14:textFill>
            <w14:solidFill>
              <w14:schemeClr w14:val="tx1"/>
            </w14:solidFill>
          </w14:textFill>
        </w:rPr>
        <w:t>以上完成所有供应商注册流程，注册完成后，请耐心等待工作人员审核。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2142"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5EE13A97"/>
    <w:multiLevelType w:val="multilevel"/>
    <w:tmpl w:val="5EE13A9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6CC"/>
    <w:rsid w:val="00051AC8"/>
    <w:rsid w:val="00083785"/>
    <w:rsid w:val="000A3723"/>
    <w:rsid w:val="001F21A0"/>
    <w:rsid w:val="001F3059"/>
    <w:rsid w:val="00246C6A"/>
    <w:rsid w:val="002E216B"/>
    <w:rsid w:val="003161DA"/>
    <w:rsid w:val="003741F4"/>
    <w:rsid w:val="003846CC"/>
    <w:rsid w:val="003C3D55"/>
    <w:rsid w:val="003C67C5"/>
    <w:rsid w:val="003F3A79"/>
    <w:rsid w:val="003F5BAC"/>
    <w:rsid w:val="00456590"/>
    <w:rsid w:val="00457BFF"/>
    <w:rsid w:val="004D17C4"/>
    <w:rsid w:val="00503809"/>
    <w:rsid w:val="005040E2"/>
    <w:rsid w:val="00506DEC"/>
    <w:rsid w:val="0053408C"/>
    <w:rsid w:val="0059737A"/>
    <w:rsid w:val="005B3515"/>
    <w:rsid w:val="005B5BBA"/>
    <w:rsid w:val="00623B2C"/>
    <w:rsid w:val="00641FF5"/>
    <w:rsid w:val="006B56CE"/>
    <w:rsid w:val="007160EF"/>
    <w:rsid w:val="008053DF"/>
    <w:rsid w:val="00887D07"/>
    <w:rsid w:val="00906806"/>
    <w:rsid w:val="009D7A00"/>
    <w:rsid w:val="00A92A7E"/>
    <w:rsid w:val="00AA59C7"/>
    <w:rsid w:val="00B079B8"/>
    <w:rsid w:val="00B211D8"/>
    <w:rsid w:val="00BB7BB6"/>
    <w:rsid w:val="00BC6F0A"/>
    <w:rsid w:val="00BF6138"/>
    <w:rsid w:val="00CC0FE6"/>
    <w:rsid w:val="00D91D71"/>
    <w:rsid w:val="00DB17D3"/>
    <w:rsid w:val="00E23784"/>
    <w:rsid w:val="00E24CEB"/>
    <w:rsid w:val="00E910E7"/>
    <w:rsid w:val="00EF4FD3"/>
    <w:rsid w:val="00FA00AC"/>
    <w:rsid w:val="00FC7EF7"/>
    <w:rsid w:val="02D27789"/>
    <w:rsid w:val="146728FD"/>
    <w:rsid w:val="21493F26"/>
    <w:rsid w:val="28E12160"/>
    <w:rsid w:val="40BF1B37"/>
    <w:rsid w:val="481E5309"/>
    <w:rsid w:val="65132FFD"/>
    <w:rsid w:val="74851136"/>
    <w:rsid w:val="7BB37293"/>
    <w:rsid w:val="7BFA2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0"/>
    <w:pPr>
      <w:keepNext/>
      <w:keepLines/>
      <w:numPr>
        <w:ilvl w:val="0"/>
        <w:numId w:val="1"/>
      </w:numPr>
      <w:spacing w:beforeLines="50" w:afterLines="50" w:line="360" w:lineRule="auto"/>
      <w:ind w:left="431" w:hanging="431"/>
      <w:outlineLvl w:val="0"/>
    </w:pPr>
    <w:rPr>
      <w:rFonts w:ascii="Times New Roman" w:hAnsi="Times New Roman"/>
      <w:b/>
      <w:bCs/>
      <w:kern w:val="56"/>
      <w:sz w:val="28"/>
      <w:szCs w:val="28"/>
    </w:rPr>
  </w:style>
  <w:style w:type="paragraph" w:styleId="3">
    <w:name w:val="heading 2"/>
    <w:basedOn w:val="1"/>
    <w:next w:val="1"/>
    <w:link w:val="19"/>
    <w:qFormat/>
    <w:uiPriority w:val="0"/>
    <w:pPr>
      <w:keepNext/>
      <w:widowControl/>
      <w:numPr>
        <w:ilvl w:val="1"/>
        <w:numId w:val="1"/>
      </w:numPr>
      <w:overflowPunct w:val="0"/>
      <w:spacing w:beforeLines="50" w:afterLines="50" w:line="360" w:lineRule="auto"/>
      <w:ind w:left="578" w:hanging="578"/>
      <w:contextualSpacing/>
      <w:jc w:val="left"/>
      <w:textAlignment w:val="baseline"/>
      <w:outlineLvl w:val="1"/>
    </w:pPr>
    <w:rPr>
      <w:rFonts w:ascii="Times New Roman" w:hAnsi="Times New Roman"/>
      <w:b/>
      <w:bCs/>
      <w:sz w:val="28"/>
      <w:szCs w:val="28"/>
    </w:rPr>
  </w:style>
  <w:style w:type="paragraph" w:styleId="4">
    <w:name w:val="heading 3"/>
    <w:basedOn w:val="1"/>
    <w:next w:val="1"/>
    <w:link w:val="20"/>
    <w:qFormat/>
    <w:uiPriority w:val="0"/>
    <w:pPr>
      <w:keepNext/>
      <w:keepLines/>
      <w:widowControl/>
      <w:numPr>
        <w:ilvl w:val="2"/>
        <w:numId w:val="1"/>
      </w:numPr>
      <w:overflowPunct w:val="0"/>
      <w:autoSpaceDE w:val="0"/>
      <w:autoSpaceDN w:val="0"/>
      <w:adjustRightInd w:val="0"/>
      <w:spacing w:beforeLines="50" w:afterLines="50" w:line="360" w:lineRule="auto"/>
      <w:contextualSpacing/>
      <w:jc w:val="left"/>
      <w:textAlignment w:val="baseline"/>
      <w:outlineLvl w:val="2"/>
    </w:pPr>
    <w:rPr>
      <w:rFonts w:ascii="Times New Roman" w:hAnsi="Times New Roman"/>
      <w:b/>
      <w:bCs/>
      <w:sz w:val="28"/>
      <w:szCs w:val="21"/>
    </w:rPr>
  </w:style>
  <w:style w:type="paragraph" w:styleId="5">
    <w:name w:val="heading 4"/>
    <w:basedOn w:val="1"/>
    <w:next w:val="1"/>
    <w:link w:val="21"/>
    <w:qFormat/>
    <w:uiPriority w:val="0"/>
    <w:pPr>
      <w:keepNext/>
      <w:keepLines/>
      <w:numPr>
        <w:ilvl w:val="3"/>
        <w:numId w:val="1"/>
      </w:numPr>
      <w:spacing w:beforeLines="50" w:afterLines="50" w:line="360" w:lineRule="auto"/>
      <w:jc w:val="left"/>
      <w:outlineLvl w:val="3"/>
    </w:pPr>
    <w:rPr>
      <w:rFonts w:ascii="Times New Roman" w:hAnsi="Times New Roman"/>
      <w:b/>
      <w:bCs/>
      <w:color w:val="000000"/>
      <w:sz w:val="28"/>
      <w:szCs w:val="28"/>
    </w:rPr>
  </w:style>
  <w:style w:type="paragraph" w:styleId="6">
    <w:name w:val="heading 5"/>
    <w:basedOn w:val="1"/>
    <w:next w:val="1"/>
    <w:link w:val="22"/>
    <w:qFormat/>
    <w:uiPriority w:val="0"/>
    <w:pPr>
      <w:keepNext/>
      <w:keepLines/>
      <w:numPr>
        <w:ilvl w:val="4"/>
        <w:numId w:val="1"/>
      </w:numPr>
      <w:spacing w:beforeLines="50" w:afterLines="50" w:line="360" w:lineRule="auto"/>
      <w:contextualSpacing/>
      <w:jc w:val="left"/>
      <w:outlineLvl w:val="4"/>
    </w:pPr>
    <w:rPr>
      <w:rFonts w:ascii="Times New Roman" w:hAnsi="Times New Roman"/>
      <w:b/>
      <w:bCs/>
      <w:sz w:val="28"/>
      <w:szCs w:val="28"/>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qFormat/>
    <w:uiPriority w:val="39"/>
    <w:pPr>
      <w:tabs>
        <w:tab w:val="left" w:pos="1260"/>
        <w:tab w:val="right" w:leader="dot" w:pos="9062"/>
      </w:tabs>
      <w:ind w:left="300" w:leftChars="300" w:firstLine="100" w:firstLineChars="100"/>
    </w:pPr>
    <w:rPr>
      <w:rFonts w:ascii="宋体" w:hAnsi="宋体"/>
      <w:iCs/>
      <w:szCs w:val="20"/>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iPriority w:val="39"/>
    <w:pPr>
      <w:tabs>
        <w:tab w:val="left" w:pos="420"/>
        <w:tab w:val="left" w:pos="840"/>
        <w:tab w:val="right" w:leader="dot" w:pos="9061"/>
      </w:tabs>
      <w:ind w:firstLine="420" w:firstLineChars="200"/>
      <w:jc w:val="left"/>
    </w:pPr>
    <w:rPr>
      <w:rFonts w:ascii="宋体" w:hAnsi="宋体"/>
      <w:bCs/>
      <w:caps/>
      <w:szCs w:val="28"/>
    </w:rPr>
  </w:style>
  <w:style w:type="paragraph" w:styleId="11">
    <w:name w:val="toc 4"/>
    <w:basedOn w:val="1"/>
    <w:next w:val="1"/>
    <w:qFormat/>
    <w:uiPriority w:val="39"/>
    <w:pPr>
      <w:ind w:left="500" w:leftChars="500" w:firstLine="100" w:firstLineChars="100"/>
    </w:pPr>
    <w:rPr>
      <w:rFonts w:ascii="宋体" w:hAnsi="宋体"/>
      <w:szCs w:val="18"/>
    </w:rPr>
  </w:style>
  <w:style w:type="paragraph" w:styleId="12">
    <w:name w:val="toc 2"/>
    <w:basedOn w:val="1"/>
    <w:next w:val="1"/>
    <w:uiPriority w:val="39"/>
    <w:pPr>
      <w:ind w:left="200" w:leftChars="200" w:firstLine="100" w:firstLineChars="100"/>
    </w:pPr>
    <w:rPr>
      <w:rFonts w:ascii="宋体" w:hAnsi="宋体"/>
      <w:smallCaps/>
      <w:szCs w:val="20"/>
    </w:rPr>
  </w:style>
  <w:style w:type="character" w:styleId="15">
    <w:name w:val="Hyperlink"/>
    <w:qFormat/>
    <w:uiPriority w:val="99"/>
    <w:rPr>
      <w:color w:val="0000FF"/>
      <w:u w:val="single"/>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qFormat/>
    <w:uiPriority w:val="99"/>
    <w:rPr>
      <w:sz w:val="18"/>
      <w:szCs w:val="18"/>
    </w:rPr>
  </w:style>
  <w:style w:type="character" w:customStyle="1" w:styleId="18">
    <w:name w:val="标题 1 字符"/>
    <w:basedOn w:val="14"/>
    <w:link w:val="2"/>
    <w:qFormat/>
    <w:uiPriority w:val="0"/>
    <w:rPr>
      <w:rFonts w:ascii="Times New Roman" w:hAnsi="Times New Roman" w:eastAsia="宋体" w:cs="Times New Roman"/>
      <w:b/>
      <w:bCs/>
      <w:kern w:val="56"/>
      <w:sz w:val="28"/>
      <w:szCs w:val="28"/>
    </w:rPr>
  </w:style>
  <w:style w:type="character" w:customStyle="1" w:styleId="19">
    <w:name w:val="标题 2 字符"/>
    <w:basedOn w:val="14"/>
    <w:link w:val="3"/>
    <w:qFormat/>
    <w:uiPriority w:val="0"/>
    <w:rPr>
      <w:rFonts w:ascii="Times New Roman" w:hAnsi="Times New Roman" w:eastAsia="宋体" w:cs="Times New Roman"/>
      <w:b/>
      <w:bCs/>
      <w:sz w:val="28"/>
      <w:szCs w:val="28"/>
    </w:rPr>
  </w:style>
  <w:style w:type="character" w:customStyle="1" w:styleId="20">
    <w:name w:val="标题 3 字符"/>
    <w:basedOn w:val="14"/>
    <w:link w:val="4"/>
    <w:qFormat/>
    <w:uiPriority w:val="0"/>
    <w:rPr>
      <w:rFonts w:ascii="Times New Roman" w:hAnsi="Times New Roman" w:eastAsia="宋体" w:cs="Times New Roman"/>
      <w:b/>
      <w:bCs/>
      <w:sz w:val="28"/>
      <w:szCs w:val="21"/>
    </w:rPr>
  </w:style>
  <w:style w:type="character" w:customStyle="1" w:styleId="21">
    <w:name w:val="标题 4 字符"/>
    <w:basedOn w:val="14"/>
    <w:link w:val="5"/>
    <w:qFormat/>
    <w:uiPriority w:val="0"/>
    <w:rPr>
      <w:rFonts w:ascii="Times New Roman" w:hAnsi="Times New Roman" w:eastAsia="宋体" w:cs="Times New Roman"/>
      <w:b/>
      <w:bCs/>
      <w:color w:val="000000"/>
      <w:sz w:val="28"/>
      <w:szCs w:val="28"/>
    </w:rPr>
  </w:style>
  <w:style w:type="character" w:customStyle="1" w:styleId="22">
    <w:name w:val="标题 5 字符"/>
    <w:basedOn w:val="14"/>
    <w:link w:val="6"/>
    <w:qFormat/>
    <w:uiPriority w:val="0"/>
    <w:rPr>
      <w:rFonts w:ascii="Times New Roman" w:hAnsi="Times New Roman" w:eastAsia="宋体" w:cs="Times New Roman"/>
      <w:b/>
      <w:bCs/>
      <w:sz w:val="28"/>
      <w:szCs w:val="28"/>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290</Words>
  <Characters>1657</Characters>
  <Lines>13</Lines>
  <Paragraphs>3</Paragraphs>
  <TotalTime>1</TotalTime>
  <ScaleCrop>false</ScaleCrop>
  <LinksUpToDate>false</LinksUpToDate>
  <CharactersWithSpaces>1944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2020-11-14T08:57:00Z</dcterms:created>
  <dc:creator>liu hua</dc:creator>
  <cp:lastModifiedBy>ぃ秋丶</cp:lastModifiedBy>
  <dcterms:modified xsi:type="dcterms:W3CDTF">2020-12-11T09:51:13Z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