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firstLine="0" w:firstLineChars="0"/>
        <w:rPr>
          <w:rFonts w:hint="eastAsia" w:ascii="Times New Roman" w:hAnsi="Times New Roman" w:eastAsia="仿宋_GB2312" w:cs="Times New Roman"/>
          <w:sz w:val="30"/>
          <w:szCs w:val="30"/>
        </w:rPr>
      </w:pPr>
      <w:bookmarkStart w:id="0" w:name="_GoBack"/>
      <w:bookmarkEnd w:id="0"/>
    </w:p>
    <w:p>
      <w:pPr>
        <w:pStyle w:val="11"/>
        <w:ind w:firstLine="0" w:firstLineChars="0"/>
        <w:jc w:val="center"/>
        <w:rPr>
          <w:rFonts w:hint="eastAsia" w:ascii="Times New Roman" w:hAnsi="Times New Roman" w:eastAsia="黑体" w:cs="Times New Roman"/>
          <w:sz w:val="36"/>
          <w:szCs w:val="30"/>
        </w:rPr>
      </w:pPr>
      <w:r>
        <w:rPr>
          <w:rFonts w:ascii="Times New Roman" w:hAnsi="Times New Roman" w:eastAsia="黑体" w:cs="Times New Roman"/>
          <w:sz w:val="36"/>
          <w:szCs w:val="30"/>
        </w:rPr>
        <w:t>杠杆率</w:t>
      </w:r>
      <w:r>
        <w:rPr>
          <w:rFonts w:hint="eastAsia" w:ascii="Times New Roman" w:hAnsi="Times New Roman" w:eastAsia="黑体" w:cs="Times New Roman"/>
          <w:sz w:val="36"/>
          <w:szCs w:val="30"/>
        </w:rPr>
        <w:t>补充</w:t>
      </w:r>
      <w:r>
        <w:rPr>
          <w:rFonts w:ascii="Times New Roman" w:hAnsi="Times New Roman" w:eastAsia="黑体" w:cs="Times New Roman"/>
          <w:sz w:val="36"/>
          <w:szCs w:val="30"/>
        </w:rPr>
        <w:t>信息披露</w:t>
      </w:r>
    </w:p>
    <w:p>
      <w:pPr>
        <w:ind w:firstLine="600" w:firstLineChars="200"/>
        <w:rPr>
          <w:rFonts w:eastAsia="仿宋_GB2312"/>
          <w:sz w:val="30"/>
          <w:szCs w:val="30"/>
        </w:rPr>
      </w:pPr>
    </w:p>
    <w:p>
      <w:pPr>
        <w:ind w:firstLine="600" w:firstLineChars="200"/>
        <w:rPr>
          <w:rFonts w:hint="eastAsia" w:ascii="宋体" w:hAnsi="宋体"/>
          <w:sz w:val="30"/>
          <w:szCs w:val="30"/>
        </w:rPr>
      </w:pPr>
      <w:r>
        <w:rPr>
          <w:rFonts w:hint="eastAsia" w:ascii="宋体" w:hAnsi="宋体"/>
          <w:sz w:val="30"/>
          <w:szCs w:val="30"/>
        </w:rPr>
        <w:t>以下</w:t>
      </w:r>
      <w:r>
        <w:rPr>
          <w:rFonts w:ascii="宋体" w:hAnsi="宋体"/>
          <w:sz w:val="30"/>
          <w:szCs w:val="30"/>
        </w:rPr>
        <w:t>监管杠杆率信息依据</w:t>
      </w:r>
      <w:r>
        <w:rPr>
          <w:rFonts w:hint="eastAsia" w:ascii="宋体" w:hAnsi="宋体"/>
          <w:sz w:val="30"/>
          <w:szCs w:val="30"/>
        </w:rPr>
        <w:t>《商业</w:t>
      </w:r>
      <w:r>
        <w:rPr>
          <w:rFonts w:ascii="宋体" w:hAnsi="宋体"/>
          <w:sz w:val="30"/>
          <w:szCs w:val="30"/>
        </w:rPr>
        <w:t>银行杠杆率管理办法（修订</w:t>
      </w:r>
      <w:r>
        <w:rPr>
          <w:rFonts w:hint="eastAsia" w:ascii="宋体" w:hAnsi="宋体"/>
          <w:sz w:val="30"/>
          <w:szCs w:val="30"/>
        </w:rPr>
        <w:t>）</w:t>
      </w:r>
      <w:r>
        <w:rPr>
          <w:rFonts w:ascii="宋体" w:hAnsi="宋体"/>
          <w:sz w:val="30"/>
          <w:szCs w:val="30"/>
        </w:rPr>
        <w:t>》（中国银监会令</w:t>
      </w:r>
      <w:r>
        <w:rPr>
          <w:rFonts w:hint="eastAsia" w:ascii="宋体" w:hAnsi="宋体"/>
          <w:sz w:val="30"/>
          <w:szCs w:val="30"/>
        </w:rPr>
        <w:t>2015年</w:t>
      </w:r>
      <w:r>
        <w:rPr>
          <w:rFonts w:ascii="宋体" w:hAnsi="宋体"/>
          <w:sz w:val="30"/>
          <w:szCs w:val="30"/>
        </w:rPr>
        <w:t>第1</w:t>
      </w:r>
      <w:r>
        <w:rPr>
          <w:rFonts w:hint="eastAsia" w:ascii="宋体" w:hAnsi="宋体"/>
          <w:sz w:val="30"/>
          <w:szCs w:val="30"/>
        </w:rPr>
        <w:t>号</w:t>
      </w:r>
      <w:r>
        <w:rPr>
          <w:rFonts w:ascii="宋体" w:hAnsi="宋体"/>
          <w:sz w:val="30"/>
          <w:szCs w:val="30"/>
        </w:rPr>
        <w:t>）进行披露，报表日为</w:t>
      </w:r>
      <w:r>
        <w:rPr>
          <w:rFonts w:hint="eastAsia" w:ascii="宋体" w:hAnsi="宋体"/>
          <w:sz w:val="30"/>
          <w:szCs w:val="30"/>
        </w:rPr>
        <w:t>20</w:t>
      </w:r>
      <w:r>
        <w:rPr>
          <w:rFonts w:ascii="宋体" w:hAnsi="宋体"/>
          <w:sz w:val="30"/>
          <w:szCs w:val="30"/>
        </w:rPr>
        <w:t>2</w:t>
      </w:r>
      <w:r>
        <w:rPr>
          <w:rFonts w:hint="eastAsia" w:ascii="宋体" w:hAnsi="宋体"/>
          <w:sz w:val="30"/>
          <w:szCs w:val="30"/>
          <w:lang w:val="en-US" w:eastAsia="zh-CN"/>
        </w:rPr>
        <w:t>3</w:t>
      </w:r>
      <w:r>
        <w:rPr>
          <w:rFonts w:hint="eastAsia" w:ascii="宋体" w:hAnsi="宋体"/>
          <w:sz w:val="30"/>
          <w:szCs w:val="30"/>
        </w:rPr>
        <w:t>年</w:t>
      </w:r>
      <w:r>
        <w:rPr>
          <w:rFonts w:hint="eastAsia" w:ascii="宋体" w:hAnsi="宋体"/>
          <w:sz w:val="30"/>
          <w:szCs w:val="30"/>
          <w:lang w:val="en-US" w:eastAsia="zh-CN"/>
        </w:rPr>
        <w:t>9</w:t>
      </w:r>
      <w:r>
        <w:rPr>
          <w:rFonts w:hint="eastAsia" w:ascii="宋体" w:hAnsi="宋体"/>
          <w:sz w:val="30"/>
          <w:szCs w:val="30"/>
        </w:rPr>
        <w:t>月3</w:t>
      </w:r>
      <w:r>
        <w:rPr>
          <w:rFonts w:hint="eastAsia" w:ascii="宋体" w:hAnsi="宋体"/>
          <w:sz w:val="30"/>
          <w:szCs w:val="30"/>
          <w:lang w:val="en-US" w:eastAsia="zh-CN"/>
        </w:rPr>
        <w:t>0</w:t>
      </w:r>
      <w:r>
        <w:rPr>
          <w:rFonts w:hint="eastAsia" w:ascii="宋体" w:hAnsi="宋体"/>
          <w:sz w:val="30"/>
          <w:szCs w:val="30"/>
        </w:rPr>
        <w:t>日</w:t>
      </w:r>
      <w:r>
        <w:rPr>
          <w:rFonts w:ascii="宋体" w:hAnsi="宋体"/>
          <w:sz w:val="30"/>
          <w:szCs w:val="30"/>
        </w:rPr>
        <w:t>。</w:t>
      </w:r>
    </w:p>
    <w:p>
      <w:pPr>
        <w:ind w:firstLine="600" w:firstLineChars="200"/>
        <w:rPr>
          <w:rFonts w:ascii="宋体" w:hAnsi="宋体"/>
          <w:sz w:val="30"/>
          <w:szCs w:val="30"/>
        </w:rPr>
      </w:pPr>
      <w:r>
        <w:rPr>
          <w:rFonts w:hint="eastAsia" w:ascii="宋体" w:hAnsi="宋体"/>
          <w:sz w:val="30"/>
          <w:szCs w:val="30"/>
        </w:rPr>
        <w:t>附表</w:t>
      </w:r>
      <w:r>
        <w:rPr>
          <w:rFonts w:ascii="宋体" w:hAnsi="宋体"/>
          <w:sz w:val="30"/>
          <w:szCs w:val="30"/>
        </w:rPr>
        <w:t>一</w:t>
      </w:r>
      <w:r>
        <w:rPr>
          <w:rFonts w:hint="eastAsia" w:ascii="宋体" w:hAnsi="宋体"/>
          <w:sz w:val="30"/>
          <w:szCs w:val="30"/>
        </w:rPr>
        <w:t>：</w:t>
      </w:r>
      <w:r>
        <w:rPr>
          <w:rFonts w:ascii="宋体" w:hAnsi="宋体"/>
          <w:sz w:val="30"/>
          <w:szCs w:val="30"/>
        </w:rPr>
        <w:t>披露与杠杆率监管项目对应的相关会计项目以及监管项目与会计项目的差异。</w:t>
      </w:r>
    </w:p>
    <w:p>
      <w:pPr>
        <w:ind w:firstLine="6600" w:firstLineChars="2200"/>
        <w:rPr>
          <w:rFonts w:ascii="宋体" w:hAnsi="宋体"/>
          <w:sz w:val="30"/>
          <w:szCs w:val="30"/>
        </w:rPr>
      </w:pPr>
      <w:r>
        <w:rPr>
          <w:rFonts w:hint="eastAsia" w:ascii="宋体" w:hAnsi="宋体"/>
          <w:sz w:val="30"/>
          <w:szCs w:val="30"/>
        </w:rPr>
        <w:t>单位</w:t>
      </w:r>
      <w:r>
        <w:rPr>
          <w:rFonts w:ascii="宋体" w:hAnsi="宋体"/>
          <w:sz w:val="30"/>
          <w:szCs w:val="30"/>
        </w:rPr>
        <w:t>：</w:t>
      </w:r>
      <w:r>
        <w:rPr>
          <w:rFonts w:hint="eastAsia" w:ascii="宋体" w:hAnsi="宋体"/>
          <w:sz w:val="30"/>
          <w:szCs w:val="30"/>
        </w:rPr>
        <w:t>千</w:t>
      </w:r>
      <w:r>
        <w:rPr>
          <w:rFonts w:ascii="宋体" w:hAnsi="宋体"/>
          <w:sz w:val="30"/>
          <w:szCs w:val="30"/>
        </w:rPr>
        <w:t>元</w:t>
      </w:r>
    </w:p>
    <w:tbl>
      <w:tblPr>
        <w:tblStyle w:val="7"/>
        <w:tblW w:w="7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493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7" w:type="dxa"/>
            <w:noWrap w:val="0"/>
            <w:vAlign w:val="top"/>
          </w:tcPr>
          <w:p>
            <w:pPr>
              <w:jc w:val="center"/>
              <w:rPr>
                <w:rFonts w:eastAsia="仿宋_GB2312"/>
                <w:b/>
                <w:sz w:val="24"/>
                <w:szCs w:val="30"/>
              </w:rPr>
            </w:pPr>
            <w:r>
              <w:rPr>
                <w:rFonts w:eastAsia="仿宋_GB2312"/>
                <w:b/>
                <w:sz w:val="24"/>
                <w:szCs w:val="30"/>
              </w:rPr>
              <w:t>序号</w:t>
            </w:r>
          </w:p>
        </w:tc>
        <w:tc>
          <w:tcPr>
            <w:tcW w:w="4935" w:type="dxa"/>
            <w:noWrap w:val="0"/>
            <w:vAlign w:val="top"/>
          </w:tcPr>
          <w:p>
            <w:pPr>
              <w:jc w:val="center"/>
              <w:rPr>
                <w:rFonts w:eastAsia="仿宋_GB2312"/>
                <w:b/>
                <w:sz w:val="24"/>
                <w:szCs w:val="30"/>
              </w:rPr>
            </w:pPr>
            <w:r>
              <w:rPr>
                <w:rFonts w:eastAsia="仿宋_GB2312"/>
                <w:b/>
                <w:sz w:val="24"/>
                <w:szCs w:val="30"/>
              </w:rPr>
              <w:t>项目</w:t>
            </w:r>
          </w:p>
        </w:tc>
        <w:tc>
          <w:tcPr>
            <w:tcW w:w="1985" w:type="dxa"/>
            <w:noWrap w:val="0"/>
            <w:vAlign w:val="top"/>
          </w:tcPr>
          <w:p>
            <w:pPr>
              <w:jc w:val="center"/>
              <w:rPr>
                <w:rFonts w:eastAsia="仿宋_GB2312"/>
                <w:b/>
                <w:sz w:val="24"/>
                <w:szCs w:val="30"/>
              </w:rPr>
            </w:pPr>
            <w:r>
              <w:rPr>
                <w:rFonts w:eastAsia="仿宋_GB2312"/>
                <w:b/>
                <w:sz w:val="24"/>
                <w:szCs w:val="30"/>
              </w:rPr>
              <w:t>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7" w:type="dxa"/>
            <w:noWrap w:val="0"/>
            <w:vAlign w:val="top"/>
          </w:tcPr>
          <w:p>
            <w:pPr>
              <w:jc w:val="center"/>
              <w:rPr>
                <w:rFonts w:eastAsia="仿宋_GB2312"/>
                <w:sz w:val="24"/>
                <w:szCs w:val="30"/>
              </w:rPr>
            </w:pPr>
            <w:r>
              <w:rPr>
                <w:rFonts w:eastAsia="仿宋_GB2312"/>
                <w:sz w:val="24"/>
                <w:szCs w:val="30"/>
              </w:rPr>
              <w:t>1</w:t>
            </w:r>
          </w:p>
        </w:tc>
        <w:tc>
          <w:tcPr>
            <w:tcW w:w="4935" w:type="dxa"/>
            <w:noWrap w:val="0"/>
            <w:vAlign w:val="top"/>
          </w:tcPr>
          <w:p>
            <w:pPr>
              <w:rPr>
                <w:rFonts w:eastAsia="仿宋_GB2312"/>
                <w:sz w:val="24"/>
                <w:szCs w:val="30"/>
              </w:rPr>
            </w:pPr>
            <w:r>
              <w:rPr>
                <w:rFonts w:eastAsia="仿宋_GB2312"/>
                <w:color w:val="000000"/>
                <w:sz w:val="24"/>
                <w:szCs w:val="30"/>
                <w:lang w:val="en-GB"/>
              </w:rPr>
              <w:t>并表总资产</w:t>
            </w:r>
          </w:p>
        </w:tc>
        <w:tc>
          <w:tcPr>
            <w:tcW w:w="1985" w:type="dxa"/>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200,532,493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7" w:type="dxa"/>
            <w:noWrap w:val="0"/>
            <w:vAlign w:val="top"/>
          </w:tcPr>
          <w:p>
            <w:pPr>
              <w:jc w:val="center"/>
              <w:rPr>
                <w:rFonts w:eastAsia="仿宋_GB2312"/>
                <w:sz w:val="24"/>
                <w:szCs w:val="30"/>
              </w:rPr>
            </w:pPr>
            <w:r>
              <w:rPr>
                <w:rFonts w:eastAsia="仿宋_GB2312"/>
                <w:sz w:val="24"/>
                <w:szCs w:val="30"/>
              </w:rPr>
              <w:t>2</w:t>
            </w:r>
          </w:p>
        </w:tc>
        <w:tc>
          <w:tcPr>
            <w:tcW w:w="4935" w:type="dxa"/>
            <w:noWrap w:val="0"/>
            <w:vAlign w:val="top"/>
          </w:tcPr>
          <w:p>
            <w:pPr>
              <w:rPr>
                <w:rFonts w:eastAsia="仿宋_GB2312"/>
                <w:sz w:val="24"/>
                <w:szCs w:val="30"/>
              </w:rPr>
            </w:pPr>
            <w:r>
              <w:rPr>
                <w:rFonts w:eastAsia="仿宋_GB2312"/>
                <w:color w:val="000000"/>
                <w:sz w:val="24"/>
                <w:szCs w:val="30"/>
                <w:lang w:val="en-GB"/>
              </w:rPr>
              <w:t>并表调整项</w:t>
            </w:r>
          </w:p>
        </w:tc>
        <w:tc>
          <w:tcPr>
            <w:tcW w:w="1985" w:type="dxa"/>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734,464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7" w:type="dxa"/>
            <w:noWrap w:val="0"/>
            <w:vAlign w:val="top"/>
          </w:tcPr>
          <w:p>
            <w:pPr>
              <w:jc w:val="center"/>
              <w:rPr>
                <w:rFonts w:eastAsia="仿宋_GB2312"/>
                <w:sz w:val="24"/>
                <w:szCs w:val="30"/>
              </w:rPr>
            </w:pPr>
            <w:r>
              <w:rPr>
                <w:rFonts w:eastAsia="仿宋_GB2312"/>
                <w:sz w:val="24"/>
                <w:szCs w:val="30"/>
              </w:rPr>
              <w:t>3</w:t>
            </w:r>
          </w:p>
        </w:tc>
        <w:tc>
          <w:tcPr>
            <w:tcW w:w="4935" w:type="dxa"/>
            <w:noWrap w:val="0"/>
            <w:vAlign w:val="top"/>
          </w:tcPr>
          <w:p>
            <w:pPr>
              <w:rPr>
                <w:rFonts w:eastAsia="仿宋_GB2312"/>
                <w:color w:val="000000"/>
                <w:sz w:val="24"/>
                <w:szCs w:val="30"/>
                <w:lang w:val="en-GB"/>
              </w:rPr>
            </w:pPr>
            <w:r>
              <w:rPr>
                <w:rFonts w:hint="eastAsia" w:eastAsia="仿宋_GB2312"/>
                <w:color w:val="000000"/>
                <w:sz w:val="24"/>
                <w:szCs w:val="30"/>
                <w:lang w:val="en-GB"/>
              </w:rPr>
              <w:t>客户</w:t>
            </w:r>
            <w:r>
              <w:rPr>
                <w:rFonts w:eastAsia="仿宋_GB2312"/>
                <w:color w:val="000000"/>
                <w:sz w:val="24"/>
                <w:szCs w:val="30"/>
                <w:lang w:val="en-GB"/>
              </w:rPr>
              <w:t>资产调整项</w:t>
            </w:r>
          </w:p>
        </w:tc>
        <w:tc>
          <w:tcPr>
            <w:tcW w:w="1985" w:type="dxa"/>
            <w:noWrap w:val="0"/>
            <w:vAlign w:val="center"/>
          </w:tcPr>
          <w:p>
            <w:pPr>
              <w:jc w:val="right"/>
              <w:rPr>
                <w:rFonts w:hint="default"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7" w:type="dxa"/>
            <w:noWrap w:val="0"/>
            <w:vAlign w:val="top"/>
          </w:tcPr>
          <w:p>
            <w:pPr>
              <w:jc w:val="center"/>
              <w:rPr>
                <w:rFonts w:hint="eastAsia" w:eastAsia="仿宋_GB2312"/>
                <w:sz w:val="24"/>
                <w:szCs w:val="30"/>
              </w:rPr>
            </w:pPr>
            <w:r>
              <w:rPr>
                <w:rFonts w:hint="eastAsia" w:eastAsia="仿宋_GB2312"/>
                <w:sz w:val="24"/>
                <w:szCs w:val="30"/>
              </w:rPr>
              <w:t>4</w:t>
            </w:r>
          </w:p>
        </w:tc>
        <w:tc>
          <w:tcPr>
            <w:tcW w:w="4935" w:type="dxa"/>
            <w:noWrap w:val="0"/>
            <w:vAlign w:val="top"/>
          </w:tcPr>
          <w:p>
            <w:pPr>
              <w:rPr>
                <w:rFonts w:eastAsia="仿宋_GB2312"/>
                <w:sz w:val="24"/>
                <w:szCs w:val="30"/>
              </w:rPr>
            </w:pPr>
            <w:r>
              <w:rPr>
                <w:rFonts w:eastAsia="仿宋_GB2312"/>
                <w:color w:val="000000"/>
                <w:sz w:val="24"/>
                <w:szCs w:val="30"/>
                <w:lang w:val="en-GB"/>
              </w:rPr>
              <w:t>衍生产品调整项</w:t>
            </w:r>
          </w:p>
        </w:tc>
        <w:tc>
          <w:tcPr>
            <w:tcW w:w="1985" w:type="dxa"/>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 xml:space="preserve"> 242,287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7" w:type="dxa"/>
            <w:noWrap w:val="0"/>
            <w:vAlign w:val="top"/>
          </w:tcPr>
          <w:p>
            <w:pPr>
              <w:jc w:val="center"/>
              <w:rPr>
                <w:rFonts w:hint="eastAsia" w:eastAsia="仿宋_GB2312"/>
                <w:sz w:val="24"/>
                <w:szCs w:val="30"/>
              </w:rPr>
            </w:pPr>
            <w:r>
              <w:rPr>
                <w:rFonts w:hint="eastAsia" w:eastAsia="仿宋_GB2312"/>
                <w:sz w:val="24"/>
                <w:szCs w:val="30"/>
              </w:rPr>
              <w:t>5</w:t>
            </w:r>
          </w:p>
        </w:tc>
        <w:tc>
          <w:tcPr>
            <w:tcW w:w="4935" w:type="dxa"/>
            <w:noWrap w:val="0"/>
            <w:vAlign w:val="top"/>
          </w:tcPr>
          <w:p>
            <w:pPr>
              <w:rPr>
                <w:rFonts w:eastAsia="仿宋_GB2312"/>
                <w:sz w:val="24"/>
                <w:szCs w:val="30"/>
              </w:rPr>
            </w:pPr>
            <w:r>
              <w:rPr>
                <w:rFonts w:eastAsia="仿宋_GB2312"/>
                <w:color w:val="000000"/>
                <w:sz w:val="24"/>
                <w:szCs w:val="30"/>
                <w:lang w:val="en-GB"/>
              </w:rPr>
              <w:t>证券融资交易调整项</w:t>
            </w:r>
          </w:p>
        </w:tc>
        <w:tc>
          <w:tcPr>
            <w:tcW w:w="1985" w:type="dxa"/>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471903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7" w:type="dxa"/>
            <w:noWrap w:val="0"/>
            <w:vAlign w:val="top"/>
          </w:tcPr>
          <w:p>
            <w:pPr>
              <w:jc w:val="center"/>
              <w:rPr>
                <w:rFonts w:hint="eastAsia" w:eastAsia="仿宋_GB2312"/>
                <w:sz w:val="24"/>
                <w:szCs w:val="30"/>
              </w:rPr>
            </w:pPr>
            <w:r>
              <w:rPr>
                <w:rFonts w:hint="eastAsia" w:eastAsia="仿宋_GB2312"/>
                <w:sz w:val="24"/>
                <w:szCs w:val="30"/>
              </w:rPr>
              <w:t>6</w:t>
            </w:r>
          </w:p>
        </w:tc>
        <w:tc>
          <w:tcPr>
            <w:tcW w:w="4935" w:type="dxa"/>
            <w:noWrap w:val="0"/>
            <w:vAlign w:val="top"/>
          </w:tcPr>
          <w:p>
            <w:pPr>
              <w:rPr>
                <w:rFonts w:eastAsia="仿宋_GB2312"/>
                <w:sz w:val="24"/>
                <w:szCs w:val="30"/>
              </w:rPr>
            </w:pPr>
            <w:r>
              <w:rPr>
                <w:rFonts w:eastAsia="仿宋_GB2312"/>
                <w:sz w:val="24"/>
                <w:szCs w:val="30"/>
                <w:lang w:val="en-GB" w:eastAsia="ja-JP"/>
              </w:rPr>
              <w:t>表外项目调整</w:t>
            </w:r>
            <w:r>
              <w:rPr>
                <w:rFonts w:eastAsia="仿宋_GB2312"/>
                <w:sz w:val="24"/>
                <w:szCs w:val="30"/>
                <w:lang w:val="en-GB"/>
              </w:rPr>
              <w:t>项</w:t>
            </w:r>
          </w:p>
        </w:tc>
        <w:tc>
          <w:tcPr>
            <w:tcW w:w="1985" w:type="dxa"/>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19,935,775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7" w:type="dxa"/>
            <w:noWrap w:val="0"/>
            <w:vAlign w:val="top"/>
          </w:tcPr>
          <w:p>
            <w:pPr>
              <w:jc w:val="center"/>
              <w:rPr>
                <w:rFonts w:hint="eastAsia" w:eastAsia="仿宋_GB2312"/>
                <w:sz w:val="24"/>
                <w:szCs w:val="30"/>
              </w:rPr>
            </w:pPr>
            <w:r>
              <w:rPr>
                <w:rFonts w:hint="eastAsia" w:eastAsia="仿宋_GB2312"/>
                <w:sz w:val="24"/>
                <w:szCs w:val="30"/>
              </w:rPr>
              <w:t>7</w:t>
            </w:r>
          </w:p>
        </w:tc>
        <w:tc>
          <w:tcPr>
            <w:tcW w:w="4935" w:type="dxa"/>
            <w:noWrap w:val="0"/>
            <w:vAlign w:val="top"/>
          </w:tcPr>
          <w:p>
            <w:pPr>
              <w:rPr>
                <w:rFonts w:eastAsia="仿宋_GB2312"/>
                <w:sz w:val="24"/>
                <w:szCs w:val="30"/>
              </w:rPr>
            </w:pPr>
            <w:r>
              <w:rPr>
                <w:rFonts w:eastAsia="仿宋_GB2312"/>
                <w:sz w:val="24"/>
                <w:szCs w:val="30"/>
                <w:lang w:val="en-GB"/>
              </w:rPr>
              <w:t>其他调整项</w:t>
            </w:r>
          </w:p>
        </w:tc>
        <w:tc>
          <w:tcPr>
            <w:tcW w:w="1985" w:type="dxa"/>
            <w:tcBorders>
              <w:bottom w:val="single" w:color="auto" w:sz="4" w:space="0"/>
            </w:tcBorders>
            <w:noWrap w:val="0"/>
            <w:vAlign w:val="center"/>
          </w:tcPr>
          <w:p>
            <w:pPr>
              <w:jc w:val="right"/>
              <w:rPr>
                <w:rFonts w:hint="default"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7" w:type="dxa"/>
            <w:shd w:val="clear" w:color="auto" w:fill="auto"/>
            <w:noWrap w:val="0"/>
            <w:vAlign w:val="top"/>
          </w:tcPr>
          <w:p>
            <w:pPr>
              <w:jc w:val="center"/>
              <w:rPr>
                <w:rFonts w:hint="eastAsia" w:eastAsia="仿宋_GB2312"/>
                <w:sz w:val="24"/>
                <w:szCs w:val="30"/>
              </w:rPr>
            </w:pPr>
            <w:r>
              <w:rPr>
                <w:rFonts w:hint="eastAsia" w:eastAsia="仿宋_GB2312"/>
                <w:sz w:val="24"/>
                <w:szCs w:val="30"/>
              </w:rPr>
              <w:t>8</w:t>
            </w:r>
          </w:p>
        </w:tc>
        <w:tc>
          <w:tcPr>
            <w:tcW w:w="4935" w:type="dxa"/>
            <w:shd w:val="clear" w:color="auto" w:fill="auto"/>
            <w:noWrap w:val="0"/>
            <w:vAlign w:val="top"/>
          </w:tcPr>
          <w:p>
            <w:pPr>
              <w:rPr>
                <w:rFonts w:eastAsia="仿宋_GB2312"/>
                <w:sz w:val="24"/>
                <w:szCs w:val="30"/>
              </w:rPr>
            </w:pPr>
            <w:r>
              <w:rPr>
                <w:rFonts w:eastAsia="仿宋_GB2312"/>
                <w:sz w:val="24"/>
                <w:szCs w:val="30"/>
              </w:rPr>
              <w:t>调整后的表内外资产余额</w:t>
            </w:r>
          </w:p>
        </w:tc>
        <w:tc>
          <w:tcPr>
            <w:tcW w:w="1985" w:type="dxa"/>
            <w:shd w:val="clear" w:color="auto" w:fill="CCCCCC"/>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220,447,993</w:t>
            </w:r>
          </w:p>
        </w:tc>
      </w:tr>
    </w:tbl>
    <w:p>
      <w:pPr>
        <w:ind w:firstLine="600" w:firstLineChars="200"/>
        <w:rPr>
          <w:rFonts w:hint="eastAsia" w:eastAsia="黑体"/>
          <w:sz w:val="30"/>
          <w:szCs w:val="30"/>
        </w:rPr>
      </w:pPr>
    </w:p>
    <w:p>
      <w:pPr>
        <w:ind w:firstLine="600" w:firstLineChars="200"/>
        <w:rPr>
          <w:rFonts w:hint="eastAsia" w:eastAsia="黑体"/>
          <w:sz w:val="30"/>
          <w:szCs w:val="30"/>
        </w:rPr>
      </w:pPr>
    </w:p>
    <w:p>
      <w:pPr>
        <w:ind w:firstLine="600" w:firstLineChars="200"/>
        <w:rPr>
          <w:rFonts w:ascii="宋体" w:hAnsi="宋体"/>
          <w:sz w:val="30"/>
          <w:szCs w:val="30"/>
        </w:rPr>
      </w:pPr>
      <w:r>
        <w:rPr>
          <w:rFonts w:hint="eastAsia" w:ascii="宋体" w:hAnsi="宋体"/>
          <w:sz w:val="30"/>
          <w:szCs w:val="30"/>
        </w:rPr>
        <w:t>附表</w:t>
      </w:r>
      <w:r>
        <w:rPr>
          <w:rFonts w:ascii="宋体" w:hAnsi="宋体"/>
          <w:sz w:val="30"/>
          <w:szCs w:val="30"/>
        </w:rPr>
        <w:t>二</w:t>
      </w:r>
      <w:r>
        <w:rPr>
          <w:rFonts w:hint="eastAsia" w:ascii="宋体" w:hAnsi="宋体"/>
          <w:sz w:val="30"/>
          <w:szCs w:val="30"/>
        </w:rPr>
        <w:t>：</w:t>
      </w:r>
      <w:r>
        <w:rPr>
          <w:rFonts w:ascii="宋体" w:hAnsi="宋体"/>
          <w:sz w:val="30"/>
          <w:szCs w:val="30"/>
        </w:rPr>
        <w:t>披露杠杆率</w:t>
      </w:r>
      <w:r>
        <w:rPr>
          <w:rFonts w:hint="eastAsia" w:ascii="宋体" w:hAnsi="宋体"/>
          <w:sz w:val="30"/>
          <w:szCs w:val="30"/>
        </w:rPr>
        <w:t>水平</w:t>
      </w:r>
      <w:r>
        <w:rPr>
          <w:rFonts w:ascii="宋体" w:hAnsi="宋体"/>
          <w:sz w:val="30"/>
          <w:szCs w:val="30"/>
        </w:rPr>
        <w:t>、</w:t>
      </w:r>
      <w:r>
        <w:rPr>
          <w:rFonts w:hint="eastAsia" w:ascii="宋体" w:hAnsi="宋体"/>
          <w:sz w:val="30"/>
          <w:szCs w:val="30"/>
        </w:rPr>
        <w:t>一级资本净额</w:t>
      </w:r>
      <w:r>
        <w:rPr>
          <w:rFonts w:ascii="宋体" w:hAnsi="宋体"/>
          <w:sz w:val="30"/>
          <w:szCs w:val="30"/>
        </w:rPr>
        <w:t>、调整后的表内外资产及相关明细项目信息。</w:t>
      </w:r>
    </w:p>
    <w:p>
      <w:pPr>
        <w:rPr>
          <w:rFonts w:ascii="宋体" w:hAnsi="宋体"/>
          <w:sz w:val="30"/>
          <w:szCs w:val="30"/>
        </w:rPr>
      </w:pPr>
      <w:r>
        <w:rPr>
          <w:rFonts w:hint="eastAsia" w:ascii="宋体" w:hAnsi="宋体"/>
          <w:sz w:val="30"/>
          <w:szCs w:val="30"/>
        </w:rPr>
        <w:t xml:space="preserve">                                        </w:t>
      </w:r>
      <w:r>
        <w:rPr>
          <w:rFonts w:ascii="宋体" w:hAnsi="宋体"/>
          <w:sz w:val="30"/>
          <w:szCs w:val="30"/>
        </w:rPr>
        <w:t xml:space="preserve">    </w:t>
      </w:r>
      <w:r>
        <w:rPr>
          <w:rFonts w:hint="eastAsia" w:ascii="宋体" w:hAnsi="宋体"/>
          <w:sz w:val="30"/>
          <w:szCs w:val="30"/>
        </w:rPr>
        <w:t xml:space="preserve"> 单位</w:t>
      </w:r>
      <w:r>
        <w:rPr>
          <w:rFonts w:ascii="宋体" w:hAnsi="宋体"/>
          <w:sz w:val="30"/>
          <w:szCs w:val="30"/>
        </w:rPr>
        <w:t>：</w:t>
      </w:r>
      <w:r>
        <w:rPr>
          <w:rFonts w:hint="eastAsia" w:ascii="宋体" w:hAnsi="宋体"/>
          <w:sz w:val="30"/>
          <w:szCs w:val="30"/>
        </w:rPr>
        <w:t>千</w:t>
      </w:r>
      <w:r>
        <w:rPr>
          <w:rFonts w:ascii="宋体" w:hAnsi="宋体"/>
          <w:sz w:val="30"/>
          <w:szCs w:val="30"/>
        </w:rPr>
        <w:t>元</w:t>
      </w:r>
    </w:p>
    <w:tbl>
      <w:tblPr>
        <w:tblStyle w:val="7"/>
        <w:tblW w:w="8609" w:type="dxa"/>
        <w:jc w:val="center"/>
        <w:tblInd w:w="0" w:type="dxa"/>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0"/>
        <w:gridCol w:w="6300"/>
        <w:gridCol w:w="1409"/>
      </w:tblGrid>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eastAsia="仿宋_GB2312"/>
                <w:b/>
                <w:sz w:val="24"/>
                <w:szCs w:val="30"/>
                <w:lang w:val="en-GB"/>
              </w:rPr>
            </w:pPr>
            <w:r>
              <w:rPr>
                <w:rFonts w:eastAsia="仿宋_GB2312"/>
                <w:b/>
                <w:sz w:val="24"/>
                <w:szCs w:val="30"/>
                <w:lang w:val="en-GB"/>
              </w:rPr>
              <w:t>序号</w:t>
            </w:r>
          </w:p>
        </w:tc>
        <w:tc>
          <w:tcPr>
            <w:tcW w:w="6300" w:type="dxa"/>
            <w:noWrap/>
            <w:vAlign w:val="center"/>
          </w:tcPr>
          <w:p>
            <w:pPr>
              <w:jc w:val="center"/>
              <w:rPr>
                <w:rFonts w:eastAsia="仿宋_GB2312"/>
                <w:b/>
                <w:sz w:val="24"/>
                <w:szCs w:val="30"/>
                <w:lang w:val="en-GB"/>
              </w:rPr>
            </w:pPr>
            <w:r>
              <w:rPr>
                <w:rFonts w:eastAsia="仿宋_GB2312"/>
                <w:b/>
                <w:sz w:val="24"/>
                <w:szCs w:val="30"/>
                <w:lang w:val="en-GB"/>
              </w:rPr>
              <w:t>项目</w:t>
            </w:r>
          </w:p>
        </w:tc>
        <w:tc>
          <w:tcPr>
            <w:tcW w:w="1409" w:type="dxa"/>
            <w:tcBorders>
              <w:bottom w:val="single" w:color="auto" w:sz="2" w:space="0"/>
            </w:tcBorders>
            <w:noWrap w:val="0"/>
            <w:vAlign w:val="center"/>
          </w:tcPr>
          <w:p>
            <w:pPr>
              <w:jc w:val="center"/>
              <w:rPr>
                <w:rFonts w:eastAsia="仿宋_GB2312"/>
                <w:b/>
                <w:sz w:val="24"/>
                <w:szCs w:val="30"/>
                <w:lang w:val="en-GB"/>
              </w:rPr>
            </w:pPr>
            <w:r>
              <w:rPr>
                <w:rFonts w:eastAsia="仿宋_GB2312"/>
                <w:b/>
                <w:sz w:val="24"/>
                <w:szCs w:val="30"/>
                <w:lang w:val="en-GB"/>
              </w:rPr>
              <w:t>余额</w:t>
            </w: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rPr>
            </w:pPr>
            <w:r>
              <w:rPr>
                <w:rFonts w:hint="eastAsia" w:eastAsia="仿宋_GB2312"/>
                <w:sz w:val="24"/>
                <w:szCs w:val="30"/>
                <w:lang w:val="en-GB"/>
              </w:rPr>
              <w:t>1</w:t>
            </w:r>
          </w:p>
        </w:tc>
        <w:tc>
          <w:tcPr>
            <w:tcW w:w="6300" w:type="dxa"/>
            <w:noWrap/>
            <w:vAlign w:val="center"/>
          </w:tcPr>
          <w:p>
            <w:pPr>
              <w:pStyle w:val="13"/>
              <w:jc w:val="both"/>
              <w:rPr>
                <w:rFonts w:ascii="Times New Roman" w:hAnsi="Times New Roman" w:eastAsia="仿宋_GB2312"/>
                <w:sz w:val="24"/>
                <w:szCs w:val="30"/>
                <w:lang w:val="en-GB"/>
              </w:rPr>
            </w:pPr>
            <w:r>
              <w:rPr>
                <w:rFonts w:ascii="Times New Roman" w:hAnsi="Times New Roman" w:eastAsia="仿宋_GB2312"/>
                <w:sz w:val="24"/>
                <w:szCs w:val="30"/>
                <w:lang w:val="en-GB"/>
              </w:rPr>
              <w:t>表内资产（除衍生产品和证券融资交易外）</w:t>
            </w:r>
          </w:p>
        </w:tc>
        <w:tc>
          <w:tcPr>
            <w:tcW w:w="1409" w:type="dxa"/>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200,732,363</w:t>
            </w: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rPr>
            </w:pPr>
            <w:r>
              <w:rPr>
                <w:rFonts w:hint="eastAsia" w:eastAsia="仿宋_GB2312"/>
                <w:sz w:val="24"/>
                <w:szCs w:val="30"/>
                <w:lang w:val="en-GB"/>
              </w:rPr>
              <w:t>2</w:t>
            </w:r>
          </w:p>
        </w:tc>
        <w:tc>
          <w:tcPr>
            <w:tcW w:w="6300" w:type="dxa"/>
            <w:noWrap/>
            <w:vAlign w:val="bottom"/>
          </w:tcPr>
          <w:p>
            <w:pPr>
              <w:pStyle w:val="13"/>
              <w:jc w:val="both"/>
              <w:rPr>
                <w:rFonts w:ascii="Times New Roman" w:hAnsi="Times New Roman" w:eastAsia="仿宋_GB2312"/>
                <w:sz w:val="24"/>
                <w:szCs w:val="30"/>
                <w:lang w:val="en-GB"/>
              </w:rPr>
            </w:pPr>
            <w:r>
              <w:rPr>
                <w:rFonts w:ascii="Times New Roman" w:hAnsi="Times New Roman" w:eastAsia="仿宋_GB2312"/>
                <w:sz w:val="24"/>
                <w:szCs w:val="30"/>
                <w:lang w:val="en-GB"/>
              </w:rPr>
              <w:t>减：一级资本扣减项</w:t>
            </w:r>
          </w:p>
        </w:tc>
        <w:tc>
          <w:tcPr>
            <w:tcW w:w="1409" w:type="dxa"/>
            <w:tcBorders>
              <w:bottom w:val="single" w:color="auto" w:sz="2"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734,464</w:t>
            </w: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shd w:val="clear" w:color="auto" w:fill="auto"/>
            <w:noWrap/>
            <w:vAlign w:val="center"/>
          </w:tcPr>
          <w:p>
            <w:pPr>
              <w:jc w:val="center"/>
              <w:rPr>
                <w:rFonts w:hint="eastAsia" w:eastAsia="仿宋_GB2312"/>
                <w:sz w:val="24"/>
                <w:szCs w:val="30"/>
                <w:lang w:val="en-GB"/>
              </w:rPr>
            </w:pPr>
            <w:r>
              <w:rPr>
                <w:rFonts w:hint="eastAsia" w:eastAsia="仿宋_GB2312"/>
                <w:sz w:val="24"/>
                <w:szCs w:val="30"/>
                <w:lang w:val="en-GB"/>
              </w:rPr>
              <w:t>3</w:t>
            </w:r>
          </w:p>
        </w:tc>
        <w:tc>
          <w:tcPr>
            <w:tcW w:w="6300" w:type="dxa"/>
            <w:shd w:val="clear" w:color="auto" w:fill="auto"/>
            <w:noWrap/>
            <w:vAlign w:val="center"/>
          </w:tcPr>
          <w:p>
            <w:pPr>
              <w:pStyle w:val="13"/>
              <w:jc w:val="both"/>
              <w:rPr>
                <w:rFonts w:ascii="Times New Roman" w:hAnsi="Times New Roman" w:eastAsia="仿宋_GB2312"/>
                <w:b/>
                <w:sz w:val="24"/>
                <w:szCs w:val="30"/>
                <w:lang w:val="en-GB"/>
              </w:rPr>
            </w:pPr>
            <w:r>
              <w:rPr>
                <w:rFonts w:hint="eastAsia" w:ascii="Times New Roman" w:hAnsi="Times New Roman" w:eastAsia="仿宋_GB2312"/>
                <w:b/>
                <w:sz w:val="24"/>
                <w:szCs w:val="30"/>
                <w:lang w:val="en-GB"/>
              </w:rPr>
              <w:t>调整后的</w:t>
            </w:r>
            <w:r>
              <w:rPr>
                <w:rFonts w:ascii="Times New Roman" w:hAnsi="Times New Roman" w:eastAsia="仿宋_GB2312"/>
                <w:b/>
                <w:sz w:val="24"/>
                <w:szCs w:val="30"/>
                <w:lang w:val="en-GB"/>
              </w:rPr>
              <w:t>表内资产余额（衍生产品和证券融资交易除外）</w:t>
            </w:r>
          </w:p>
        </w:tc>
        <w:tc>
          <w:tcPr>
            <w:tcW w:w="1409" w:type="dxa"/>
            <w:tcBorders>
              <w:top w:val="single" w:color="auto" w:sz="2" w:space="0"/>
            </w:tcBorders>
            <w:shd w:val="clear" w:color="auto" w:fill="CCCCCC"/>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199,798,028</w:t>
            </w: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15" w:hRule="atLeast"/>
          <w:jc w:val="center"/>
        </w:trPr>
        <w:tc>
          <w:tcPr>
            <w:tcW w:w="900" w:type="dxa"/>
            <w:noWrap/>
            <w:vAlign w:val="center"/>
          </w:tcPr>
          <w:p>
            <w:pPr>
              <w:jc w:val="center"/>
              <w:rPr>
                <w:rFonts w:hint="eastAsia" w:eastAsia="仿宋_GB2312"/>
                <w:sz w:val="24"/>
                <w:szCs w:val="30"/>
                <w:lang w:val="en-GB"/>
              </w:rPr>
            </w:pPr>
            <w:r>
              <w:rPr>
                <w:rFonts w:hint="eastAsia" w:eastAsia="仿宋_GB2312"/>
                <w:sz w:val="24"/>
                <w:szCs w:val="30"/>
                <w:lang w:val="en-GB"/>
              </w:rPr>
              <w:t>4</w:t>
            </w:r>
          </w:p>
        </w:tc>
        <w:tc>
          <w:tcPr>
            <w:tcW w:w="6300" w:type="dxa"/>
            <w:noWrap w:val="0"/>
            <w:vAlign w:val="center"/>
          </w:tcPr>
          <w:p>
            <w:pPr>
              <w:pStyle w:val="13"/>
              <w:jc w:val="both"/>
              <w:rPr>
                <w:rFonts w:ascii="Times New Roman" w:hAnsi="Times New Roman" w:eastAsia="仿宋_GB2312"/>
                <w:sz w:val="24"/>
                <w:szCs w:val="30"/>
                <w:lang w:val="en-GB"/>
              </w:rPr>
            </w:pPr>
            <w:r>
              <w:rPr>
                <w:rFonts w:ascii="Times New Roman" w:hAnsi="Times New Roman" w:eastAsia="仿宋_GB2312"/>
                <w:sz w:val="24"/>
                <w:szCs w:val="30"/>
                <w:lang w:val="en-GB"/>
              </w:rPr>
              <w:t>各类衍生产品的重置成本（扣除合格保证金）</w:t>
            </w:r>
          </w:p>
        </w:tc>
        <w:tc>
          <w:tcPr>
            <w:tcW w:w="1409" w:type="dxa"/>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85696</w:t>
            </w: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1" w:hRule="atLeast"/>
          <w:jc w:val="center"/>
        </w:trPr>
        <w:tc>
          <w:tcPr>
            <w:tcW w:w="900" w:type="dxa"/>
            <w:noWrap/>
            <w:vAlign w:val="center"/>
          </w:tcPr>
          <w:p>
            <w:pPr>
              <w:jc w:val="center"/>
              <w:rPr>
                <w:rFonts w:hint="eastAsia" w:eastAsia="仿宋_GB2312"/>
                <w:sz w:val="24"/>
                <w:szCs w:val="30"/>
                <w:lang w:val="en-GB"/>
              </w:rPr>
            </w:pPr>
            <w:r>
              <w:rPr>
                <w:rFonts w:hint="eastAsia" w:eastAsia="仿宋_GB2312"/>
                <w:sz w:val="24"/>
                <w:szCs w:val="30"/>
                <w:lang w:val="en-GB"/>
              </w:rPr>
              <w:t>5</w:t>
            </w:r>
          </w:p>
        </w:tc>
        <w:tc>
          <w:tcPr>
            <w:tcW w:w="6300" w:type="dxa"/>
            <w:noWrap w:val="0"/>
            <w:vAlign w:val="center"/>
          </w:tcPr>
          <w:p>
            <w:pPr>
              <w:pStyle w:val="13"/>
              <w:jc w:val="both"/>
              <w:rPr>
                <w:rFonts w:ascii="Times New Roman" w:hAnsi="Times New Roman" w:eastAsia="仿宋_GB2312"/>
                <w:sz w:val="24"/>
                <w:szCs w:val="30"/>
                <w:lang w:val="en-GB"/>
              </w:rPr>
            </w:pPr>
            <w:r>
              <w:rPr>
                <w:rFonts w:ascii="Times New Roman" w:hAnsi="Times New Roman" w:eastAsia="仿宋_GB2312"/>
                <w:sz w:val="24"/>
                <w:szCs w:val="30"/>
                <w:lang w:val="en-GB"/>
              </w:rPr>
              <w:t>各类衍生产品的潜在风险暴露</w:t>
            </w:r>
          </w:p>
        </w:tc>
        <w:tc>
          <w:tcPr>
            <w:tcW w:w="1409" w:type="dxa"/>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156591</w:t>
            </w: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rPr>
            </w:pPr>
            <w:r>
              <w:rPr>
                <w:rFonts w:hint="eastAsia" w:eastAsia="仿宋_GB2312"/>
                <w:sz w:val="24"/>
                <w:szCs w:val="30"/>
                <w:lang w:val="en-GB"/>
              </w:rPr>
              <w:t>6</w:t>
            </w:r>
          </w:p>
        </w:tc>
        <w:tc>
          <w:tcPr>
            <w:tcW w:w="6300" w:type="dxa"/>
            <w:noWrap w:val="0"/>
            <w:vAlign w:val="center"/>
          </w:tcPr>
          <w:p>
            <w:pPr>
              <w:pStyle w:val="13"/>
              <w:jc w:val="both"/>
              <w:rPr>
                <w:rFonts w:ascii="Times New Roman" w:hAnsi="Times New Roman" w:eastAsia="仿宋_GB2312"/>
                <w:sz w:val="24"/>
                <w:szCs w:val="30"/>
                <w:lang w:val="en-GB"/>
              </w:rPr>
            </w:pPr>
            <w:r>
              <w:rPr>
                <w:rFonts w:ascii="Times New Roman" w:hAnsi="Times New Roman" w:eastAsia="仿宋_GB2312"/>
                <w:sz w:val="24"/>
                <w:szCs w:val="30"/>
                <w:lang w:val="en-GB"/>
              </w:rPr>
              <w:t>已从资产负债表中扣除的抵质押品总和</w:t>
            </w:r>
          </w:p>
        </w:tc>
        <w:tc>
          <w:tcPr>
            <w:tcW w:w="1409" w:type="dxa"/>
            <w:noWrap w:val="0"/>
            <w:vAlign w:val="center"/>
          </w:tcPr>
          <w:p>
            <w:pPr>
              <w:jc w:val="right"/>
              <w:rPr>
                <w:rFonts w:hint="default" w:ascii="Arial" w:hAnsi="Arial" w:cs="Arial"/>
              </w:rPr>
            </w:pP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rPr>
            </w:pPr>
            <w:r>
              <w:rPr>
                <w:rFonts w:hint="eastAsia" w:eastAsia="仿宋_GB2312"/>
                <w:sz w:val="24"/>
                <w:szCs w:val="30"/>
                <w:lang w:val="en-GB"/>
              </w:rPr>
              <w:t>7</w:t>
            </w:r>
          </w:p>
        </w:tc>
        <w:tc>
          <w:tcPr>
            <w:tcW w:w="6300" w:type="dxa"/>
            <w:noWrap w:val="0"/>
            <w:vAlign w:val="center"/>
          </w:tcPr>
          <w:p>
            <w:pPr>
              <w:pStyle w:val="13"/>
              <w:jc w:val="both"/>
              <w:rPr>
                <w:rFonts w:ascii="Times New Roman" w:hAnsi="Times New Roman" w:eastAsia="仿宋_GB2312"/>
                <w:sz w:val="24"/>
                <w:szCs w:val="30"/>
                <w:lang w:val="en-GB"/>
              </w:rPr>
            </w:pPr>
            <w:r>
              <w:rPr>
                <w:rFonts w:ascii="Times New Roman" w:hAnsi="Times New Roman" w:eastAsia="仿宋_GB2312"/>
                <w:sz w:val="24"/>
                <w:szCs w:val="30"/>
                <w:lang w:val="en-GB"/>
              </w:rPr>
              <w:t>减：因提供合格保证金形成的应收资产</w:t>
            </w:r>
          </w:p>
        </w:tc>
        <w:tc>
          <w:tcPr>
            <w:tcW w:w="1409" w:type="dxa"/>
            <w:noWrap w:val="0"/>
            <w:vAlign w:val="center"/>
          </w:tcPr>
          <w:p>
            <w:pPr>
              <w:jc w:val="right"/>
              <w:rPr>
                <w:rFonts w:hint="default" w:ascii="Arial" w:hAnsi="Arial" w:cs="Arial"/>
              </w:rPr>
            </w:pP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rPr>
            </w:pPr>
            <w:r>
              <w:rPr>
                <w:rFonts w:hint="eastAsia" w:eastAsia="仿宋_GB2312"/>
                <w:sz w:val="24"/>
                <w:szCs w:val="30"/>
                <w:lang w:val="en-GB"/>
              </w:rPr>
              <w:t>8</w:t>
            </w:r>
          </w:p>
        </w:tc>
        <w:tc>
          <w:tcPr>
            <w:tcW w:w="6300" w:type="dxa"/>
            <w:noWrap w:val="0"/>
            <w:vAlign w:val="center"/>
          </w:tcPr>
          <w:p>
            <w:pPr>
              <w:pStyle w:val="13"/>
              <w:jc w:val="both"/>
              <w:rPr>
                <w:rFonts w:ascii="Times New Roman" w:hAnsi="Times New Roman" w:eastAsia="仿宋_GB2312"/>
                <w:sz w:val="24"/>
                <w:szCs w:val="30"/>
                <w:lang w:val="en-GB"/>
              </w:rPr>
            </w:pPr>
            <w:r>
              <w:rPr>
                <w:rFonts w:ascii="Times New Roman" w:hAnsi="Times New Roman" w:eastAsia="仿宋_GB2312"/>
                <w:sz w:val="24"/>
                <w:szCs w:val="30"/>
                <w:lang w:val="en-GB"/>
              </w:rPr>
              <w:t>减：为客户提供清算服务时与中央交易对手交易形成的衍生产品</w:t>
            </w:r>
            <w:r>
              <w:rPr>
                <w:rFonts w:hint="eastAsia" w:ascii="Times New Roman" w:hAnsi="Times New Roman" w:eastAsia="仿宋_GB2312"/>
                <w:sz w:val="24"/>
                <w:szCs w:val="30"/>
                <w:lang w:val="en-GB"/>
              </w:rPr>
              <w:t>资产</w:t>
            </w:r>
            <w:r>
              <w:rPr>
                <w:rFonts w:ascii="Times New Roman" w:hAnsi="Times New Roman" w:eastAsia="仿宋_GB2312"/>
                <w:sz w:val="24"/>
                <w:szCs w:val="30"/>
                <w:lang w:val="en-GB"/>
              </w:rPr>
              <w:t>余额</w:t>
            </w:r>
          </w:p>
        </w:tc>
        <w:tc>
          <w:tcPr>
            <w:tcW w:w="1409" w:type="dxa"/>
            <w:noWrap w:val="0"/>
            <w:vAlign w:val="center"/>
          </w:tcPr>
          <w:p>
            <w:pPr>
              <w:jc w:val="right"/>
              <w:rPr>
                <w:rFonts w:hint="default" w:ascii="Arial" w:hAnsi="Arial" w:cs="Arial"/>
              </w:rPr>
            </w:pP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rPr>
            </w:pPr>
            <w:r>
              <w:rPr>
                <w:rFonts w:hint="eastAsia" w:eastAsia="仿宋_GB2312"/>
                <w:sz w:val="24"/>
                <w:szCs w:val="30"/>
                <w:lang w:val="en-GB"/>
              </w:rPr>
              <w:t>9</w:t>
            </w:r>
          </w:p>
        </w:tc>
        <w:tc>
          <w:tcPr>
            <w:tcW w:w="6300" w:type="dxa"/>
            <w:noWrap w:val="0"/>
            <w:vAlign w:val="center"/>
          </w:tcPr>
          <w:p>
            <w:pPr>
              <w:pStyle w:val="13"/>
              <w:jc w:val="both"/>
              <w:rPr>
                <w:rFonts w:ascii="Times New Roman" w:hAnsi="Times New Roman" w:eastAsia="仿宋_GB2312"/>
                <w:sz w:val="24"/>
                <w:szCs w:val="30"/>
                <w:lang w:val="en-GB"/>
              </w:rPr>
            </w:pPr>
            <w:r>
              <w:rPr>
                <w:rFonts w:hint="eastAsia" w:ascii="Times New Roman" w:hAnsi="Times New Roman" w:eastAsia="仿宋_GB2312"/>
                <w:sz w:val="24"/>
                <w:szCs w:val="30"/>
                <w:lang w:val="en-GB"/>
              </w:rPr>
              <w:t>卖出</w:t>
            </w:r>
            <w:r>
              <w:rPr>
                <w:rFonts w:ascii="Times New Roman" w:hAnsi="Times New Roman" w:eastAsia="仿宋_GB2312"/>
                <w:sz w:val="24"/>
                <w:szCs w:val="30"/>
                <w:lang w:val="en-GB"/>
              </w:rPr>
              <w:t>信用衍生产品的名义本金</w:t>
            </w:r>
          </w:p>
        </w:tc>
        <w:tc>
          <w:tcPr>
            <w:tcW w:w="1409" w:type="dxa"/>
            <w:noWrap w:val="0"/>
            <w:vAlign w:val="center"/>
          </w:tcPr>
          <w:p>
            <w:pPr>
              <w:jc w:val="right"/>
              <w:rPr>
                <w:rFonts w:hint="default" w:ascii="Arial" w:hAnsi="Arial" w:cs="Arial"/>
              </w:rPr>
            </w:pP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eastAsia="ja-JP"/>
              </w:rPr>
            </w:pPr>
            <w:r>
              <w:rPr>
                <w:rFonts w:eastAsia="仿宋_GB2312"/>
                <w:sz w:val="24"/>
                <w:szCs w:val="30"/>
                <w:lang w:val="en-GB"/>
              </w:rPr>
              <w:t>1</w:t>
            </w:r>
            <w:r>
              <w:rPr>
                <w:rFonts w:hint="eastAsia" w:eastAsia="仿宋_GB2312"/>
                <w:sz w:val="24"/>
                <w:szCs w:val="30"/>
                <w:lang w:val="en-GB"/>
              </w:rPr>
              <w:t>0</w:t>
            </w:r>
          </w:p>
        </w:tc>
        <w:tc>
          <w:tcPr>
            <w:tcW w:w="6300" w:type="dxa"/>
            <w:noWrap w:val="0"/>
            <w:vAlign w:val="center"/>
          </w:tcPr>
          <w:p>
            <w:pPr>
              <w:pStyle w:val="13"/>
              <w:jc w:val="both"/>
              <w:rPr>
                <w:rFonts w:hint="eastAsia" w:ascii="Times New Roman" w:hAnsi="Times New Roman" w:eastAsia="仿宋_GB2312"/>
                <w:sz w:val="24"/>
                <w:szCs w:val="30"/>
                <w:lang w:val="en-GB"/>
              </w:rPr>
            </w:pPr>
            <w:r>
              <w:rPr>
                <w:rFonts w:ascii="Times New Roman" w:hAnsi="Times New Roman" w:eastAsia="仿宋_GB2312"/>
                <w:sz w:val="24"/>
                <w:szCs w:val="30"/>
                <w:lang w:val="en-GB"/>
              </w:rPr>
              <w:t>减：可扣除的</w:t>
            </w:r>
            <w:r>
              <w:rPr>
                <w:rFonts w:hint="eastAsia" w:ascii="Times New Roman" w:hAnsi="Times New Roman" w:eastAsia="仿宋_GB2312"/>
                <w:sz w:val="24"/>
                <w:szCs w:val="30"/>
                <w:lang w:val="en-GB"/>
              </w:rPr>
              <w:t>卖出</w:t>
            </w:r>
            <w:r>
              <w:rPr>
                <w:rFonts w:ascii="Times New Roman" w:hAnsi="Times New Roman" w:eastAsia="仿宋_GB2312"/>
                <w:sz w:val="24"/>
                <w:szCs w:val="30"/>
                <w:lang w:val="en-GB"/>
              </w:rPr>
              <w:t>信用衍生产品</w:t>
            </w:r>
            <w:r>
              <w:rPr>
                <w:rFonts w:hint="eastAsia" w:ascii="Times New Roman" w:hAnsi="Times New Roman" w:eastAsia="仿宋_GB2312"/>
                <w:sz w:val="24"/>
                <w:szCs w:val="30"/>
                <w:lang w:val="en-GB"/>
              </w:rPr>
              <w:t>资产余额</w:t>
            </w:r>
          </w:p>
        </w:tc>
        <w:tc>
          <w:tcPr>
            <w:tcW w:w="1409" w:type="dxa"/>
            <w:tcBorders>
              <w:bottom w:val="single" w:color="auto" w:sz="2" w:space="0"/>
            </w:tcBorders>
            <w:noWrap w:val="0"/>
            <w:vAlign w:val="center"/>
          </w:tcPr>
          <w:p>
            <w:pPr>
              <w:jc w:val="right"/>
              <w:rPr>
                <w:rFonts w:hint="default" w:ascii="Arial" w:hAnsi="Arial" w:cs="Arial"/>
              </w:rPr>
            </w:pP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15" w:hRule="atLeast"/>
          <w:jc w:val="center"/>
        </w:trPr>
        <w:tc>
          <w:tcPr>
            <w:tcW w:w="900" w:type="dxa"/>
            <w:shd w:val="clear" w:color="auto" w:fill="auto"/>
            <w:noWrap/>
            <w:vAlign w:val="center"/>
          </w:tcPr>
          <w:p>
            <w:pPr>
              <w:jc w:val="center"/>
              <w:rPr>
                <w:rFonts w:hint="eastAsia" w:eastAsia="仿宋_GB2312"/>
                <w:sz w:val="24"/>
                <w:szCs w:val="30"/>
                <w:lang w:val="en-GB"/>
              </w:rPr>
            </w:pPr>
            <w:r>
              <w:rPr>
                <w:rFonts w:hint="eastAsia" w:eastAsia="仿宋_GB2312"/>
                <w:sz w:val="24"/>
                <w:szCs w:val="30"/>
                <w:lang w:val="en-GB"/>
              </w:rPr>
              <w:t>11</w:t>
            </w:r>
          </w:p>
        </w:tc>
        <w:tc>
          <w:tcPr>
            <w:tcW w:w="6300" w:type="dxa"/>
            <w:shd w:val="clear" w:color="auto" w:fill="auto"/>
            <w:noWrap w:val="0"/>
            <w:vAlign w:val="center"/>
          </w:tcPr>
          <w:p>
            <w:pPr>
              <w:pStyle w:val="13"/>
              <w:jc w:val="both"/>
              <w:rPr>
                <w:rFonts w:ascii="Times New Roman" w:hAnsi="Times New Roman" w:eastAsia="仿宋_GB2312"/>
                <w:b/>
                <w:sz w:val="24"/>
                <w:szCs w:val="30"/>
                <w:lang w:val="en-GB"/>
              </w:rPr>
            </w:pPr>
            <w:r>
              <w:rPr>
                <w:rFonts w:ascii="Times New Roman" w:hAnsi="Times New Roman" w:eastAsia="仿宋_GB2312"/>
                <w:b/>
                <w:sz w:val="24"/>
                <w:szCs w:val="30"/>
                <w:lang w:val="en-GB"/>
              </w:rPr>
              <w:t>衍生产品资产余额</w:t>
            </w:r>
          </w:p>
        </w:tc>
        <w:tc>
          <w:tcPr>
            <w:tcW w:w="1409" w:type="dxa"/>
            <w:tcBorders>
              <w:top w:val="single" w:color="auto" w:sz="2" w:space="0"/>
            </w:tcBorders>
            <w:shd w:val="clear" w:color="auto" w:fill="CCCCCC"/>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242287</w:t>
            </w: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rPr>
            </w:pPr>
            <w:r>
              <w:rPr>
                <w:rFonts w:eastAsia="仿宋_GB2312"/>
                <w:sz w:val="24"/>
                <w:szCs w:val="30"/>
                <w:lang w:val="en-GB"/>
              </w:rPr>
              <w:t>1</w:t>
            </w:r>
            <w:r>
              <w:rPr>
                <w:rFonts w:hint="eastAsia" w:eastAsia="仿宋_GB2312"/>
                <w:sz w:val="24"/>
                <w:szCs w:val="30"/>
                <w:lang w:val="en-GB"/>
              </w:rPr>
              <w:t>2</w:t>
            </w:r>
          </w:p>
        </w:tc>
        <w:tc>
          <w:tcPr>
            <w:tcW w:w="6300" w:type="dxa"/>
            <w:noWrap w:val="0"/>
            <w:vAlign w:val="center"/>
          </w:tcPr>
          <w:p>
            <w:pPr>
              <w:pStyle w:val="13"/>
              <w:jc w:val="both"/>
              <w:rPr>
                <w:rFonts w:hint="eastAsia" w:ascii="Times New Roman" w:hAnsi="Times New Roman" w:eastAsia="仿宋_GB2312"/>
                <w:sz w:val="24"/>
                <w:szCs w:val="30"/>
                <w:lang w:val="en-GB"/>
              </w:rPr>
            </w:pPr>
            <w:r>
              <w:rPr>
                <w:rFonts w:ascii="Times New Roman" w:hAnsi="Times New Roman" w:eastAsia="仿宋_GB2312"/>
                <w:sz w:val="24"/>
                <w:szCs w:val="30"/>
                <w:lang w:val="en-GB"/>
              </w:rPr>
              <w:t>证券融资交易</w:t>
            </w:r>
            <w:r>
              <w:rPr>
                <w:rFonts w:hint="eastAsia" w:ascii="Times New Roman" w:hAnsi="Times New Roman" w:eastAsia="仿宋_GB2312"/>
                <w:sz w:val="24"/>
                <w:szCs w:val="30"/>
                <w:lang w:val="en-GB"/>
              </w:rPr>
              <w:t>的</w:t>
            </w:r>
            <w:r>
              <w:rPr>
                <w:rFonts w:ascii="Times New Roman" w:hAnsi="Times New Roman" w:eastAsia="仿宋_GB2312"/>
                <w:sz w:val="24"/>
                <w:szCs w:val="30"/>
                <w:lang w:val="en-GB"/>
              </w:rPr>
              <w:t>会计资产</w:t>
            </w:r>
            <w:r>
              <w:rPr>
                <w:rFonts w:hint="eastAsia" w:ascii="Times New Roman" w:hAnsi="Times New Roman" w:eastAsia="仿宋_GB2312"/>
                <w:sz w:val="24"/>
                <w:szCs w:val="30"/>
                <w:lang w:val="en-GB"/>
              </w:rPr>
              <w:t>余额</w:t>
            </w:r>
          </w:p>
        </w:tc>
        <w:tc>
          <w:tcPr>
            <w:tcW w:w="1409" w:type="dxa"/>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199870</w:t>
            </w: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rPr>
            </w:pPr>
            <w:r>
              <w:rPr>
                <w:rFonts w:eastAsia="仿宋_GB2312"/>
                <w:sz w:val="24"/>
                <w:szCs w:val="30"/>
                <w:lang w:val="en-GB"/>
              </w:rPr>
              <w:t>1</w:t>
            </w:r>
            <w:r>
              <w:rPr>
                <w:rFonts w:hint="eastAsia" w:eastAsia="仿宋_GB2312"/>
                <w:sz w:val="24"/>
                <w:szCs w:val="30"/>
                <w:lang w:val="en-GB"/>
              </w:rPr>
              <w:t>3</w:t>
            </w:r>
          </w:p>
        </w:tc>
        <w:tc>
          <w:tcPr>
            <w:tcW w:w="6300" w:type="dxa"/>
            <w:noWrap w:val="0"/>
            <w:vAlign w:val="center"/>
          </w:tcPr>
          <w:p>
            <w:pPr>
              <w:pStyle w:val="13"/>
              <w:jc w:val="both"/>
              <w:rPr>
                <w:rFonts w:hint="eastAsia" w:ascii="Times New Roman" w:hAnsi="Times New Roman" w:eastAsia="仿宋_GB2312"/>
                <w:sz w:val="24"/>
                <w:szCs w:val="30"/>
                <w:lang w:val="en-GB"/>
              </w:rPr>
            </w:pPr>
            <w:r>
              <w:rPr>
                <w:rFonts w:ascii="Times New Roman" w:hAnsi="Times New Roman" w:eastAsia="仿宋_GB2312"/>
                <w:sz w:val="24"/>
                <w:szCs w:val="30"/>
                <w:lang w:val="en-GB"/>
              </w:rPr>
              <w:t>减：</w:t>
            </w:r>
            <w:r>
              <w:rPr>
                <w:rFonts w:hint="eastAsia" w:ascii="Times New Roman" w:hAnsi="Times New Roman" w:eastAsia="仿宋_GB2312"/>
                <w:sz w:val="24"/>
                <w:szCs w:val="30"/>
                <w:lang w:val="en-GB"/>
              </w:rPr>
              <w:t>可以扣除的证券融资交易资产余额</w:t>
            </w:r>
          </w:p>
        </w:tc>
        <w:tc>
          <w:tcPr>
            <w:tcW w:w="1409" w:type="dxa"/>
            <w:noWrap w:val="0"/>
            <w:vAlign w:val="center"/>
          </w:tcPr>
          <w:p>
            <w:pPr>
              <w:jc w:val="right"/>
              <w:rPr>
                <w:rFonts w:hint="default" w:ascii="Arial" w:hAnsi="Arial" w:cs="Arial"/>
              </w:rPr>
            </w:pP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rPr>
            </w:pPr>
            <w:r>
              <w:rPr>
                <w:rFonts w:eastAsia="仿宋_GB2312"/>
                <w:sz w:val="24"/>
                <w:szCs w:val="30"/>
                <w:lang w:val="en-GB"/>
              </w:rPr>
              <w:t>1</w:t>
            </w:r>
            <w:r>
              <w:rPr>
                <w:rFonts w:hint="eastAsia" w:eastAsia="仿宋_GB2312"/>
                <w:sz w:val="24"/>
                <w:szCs w:val="30"/>
                <w:lang w:val="en-GB"/>
              </w:rPr>
              <w:t>4</w:t>
            </w:r>
          </w:p>
        </w:tc>
        <w:tc>
          <w:tcPr>
            <w:tcW w:w="6300" w:type="dxa"/>
            <w:noWrap w:val="0"/>
            <w:vAlign w:val="center"/>
          </w:tcPr>
          <w:p>
            <w:pPr>
              <w:pStyle w:val="13"/>
              <w:jc w:val="both"/>
              <w:rPr>
                <w:rFonts w:ascii="Times New Roman" w:hAnsi="Times New Roman" w:eastAsia="仿宋_GB2312"/>
                <w:sz w:val="24"/>
                <w:szCs w:val="30"/>
                <w:lang w:val="en-GB"/>
              </w:rPr>
            </w:pPr>
            <w:r>
              <w:rPr>
                <w:rFonts w:ascii="Times New Roman" w:hAnsi="Times New Roman" w:eastAsia="仿宋_GB2312"/>
                <w:sz w:val="24"/>
                <w:szCs w:val="30"/>
                <w:lang w:val="en-GB"/>
              </w:rPr>
              <w:t>证券融资交易的交易对手信用风险暴露</w:t>
            </w:r>
          </w:p>
        </w:tc>
        <w:tc>
          <w:tcPr>
            <w:tcW w:w="1409" w:type="dxa"/>
            <w:tcBorders>
              <w:bottom w:val="single" w:color="auto" w:sz="2"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272033</w:t>
            </w: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rPr>
            </w:pPr>
            <w:r>
              <w:rPr>
                <w:rFonts w:eastAsia="仿宋_GB2312"/>
                <w:sz w:val="24"/>
                <w:szCs w:val="30"/>
                <w:lang w:val="en-GB"/>
              </w:rPr>
              <w:t>1</w:t>
            </w:r>
            <w:r>
              <w:rPr>
                <w:rFonts w:hint="eastAsia" w:eastAsia="仿宋_GB2312"/>
                <w:sz w:val="24"/>
                <w:szCs w:val="30"/>
                <w:lang w:val="en-GB"/>
              </w:rPr>
              <w:t>5</w:t>
            </w:r>
          </w:p>
        </w:tc>
        <w:tc>
          <w:tcPr>
            <w:tcW w:w="6300" w:type="dxa"/>
            <w:noWrap w:val="0"/>
            <w:vAlign w:val="center"/>
          </w:tcPr>
          <w:p>
            <w:pPr>
              <w:pStyle w:val="13"/>
              <w:jc w:val="both"/>
              <w:rPr>
                <w:rFonts w:ascii="Times New Roman" w:hAnsi="Times New Roman" w:eastAsia="仿宋_GB2312"/>
                <w:sz w:val="24"/>
                <w:szCs w:val="30"/>
                <w:lang w:val="en-GB"/>
              </w:rPr>
            </w:pPr>
            <w:r>
              <w:rPr>
                <w:rFonts w:ascii="Times New Roman" w:hAnsi="Times New Roman" w:eastAsia="仿宋_GB2312"/>
                <w:sz w:val="24"/>
                <w:szCs w:val="30"/>
                <w:lang w:val="en-GB"/>
              </w:rPr>
              <w:t>代理证券融资交易形成的证券融资交易资产余额</w:t>
            </w:r>
          </w:p>
        </w:tc>
        <w:tc>
          <w:tcPr>
            <w:tcW w:w="1409" w:type="dxa"/>
            <w:tcBorders>
              <w:bottom w:val="single" w:color="auto" w:sz="2" w:space="0"/>
            </w:tcBorders>
            <w:noWrap w:val="0"/>
            <w:vAlign w:val="center"/>
          </w:tcPr>
          <w:p>
            <w:pPr>
              <w:jc w:val="right"/>
              <w:rPr>
                <w:rFonts w:hint="default" w:ascii="Arial" w:hAnsi="Arial" w:cs="Arial"/>
              </w:rPr>
            </w:pP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shd w:val="clear" w:color="auto" w:fill="auto"/>
            <w:noWrap/>
            <w:vAlign w:val="center"/>
          </w:tcPr>
          <w:p>
            <w:pPr>
              <w:jc w:val="center"/>
              <w:rPr>
                <w:rFonts w:hint="eastAsia" w:eastAsia="仿宋_GB2312"/>
                <w:sz w:val="24"/>
                <w:szCs w:val="30"/>
                <w:lang w:val="en-GB"/>
              </w:rPr>
            </w:pPr>
            <w:r>
              <w:rPr>
                <w:rFonts w:eastAsia="仿宋_GB2312"/>
                <w:sz w:val="24"/>
                <w:szCs w:val="30"/>
                <w:lang w:val="en-GB"/>
              </w:rPr>
              <w:t>1</w:t>
            </w:r>
            <w:r>
              <w:rPr>
                <w:rFonts w:hint="eastAsia" w:eastAsia="仿宋_GB2312"/>
                <w:sz w:val="24"/>
                <w:szCs w:val="30"/>
                <w:lang w:val="en-GB"/>
              </w:rPr>
              <w:t>6</w:t>
            </w:r>
          </w:p>
        </w:tc>
        <w:tc>
          <w:tcPr>
            <w:tcW w:w="6300" w:type="dxa"/>
            <w:shd w:val="clear" w:color="auto" w:fill="auto"/>
            <w:noWrap w:val="0"/>
            <w:vAlign w:val="center"/>
          </w:tcPr>
          <w:p>
            <w:pPr>
              <w:pStyle w:val="13"/>
              <w:jc w:val="both"/>
              <w:rPr>
                <w:rFonts w:ascii="Times New Roman" w:hAnsi="Times New Roman" w:eastAsia="仿宋_GB2312"/>
                <w:b/>
                <w:sz w:val="24"/>
                <w:szCs w:val="30"/>
                <w:lang w:val="en-GB"/>
              </w:rPr>
            </w:pPr>
            <w:r>
              <w:rPr>
                <w:rFonts w:ascii="Times New Roman" w:hAnsi="Times New Roman" w:eastAsia="仿宋_GB2312"/>
                <w:b/>
                <w:sz w:val="24"/>
                <w:szCs w:val="30"/>
                <w:lang w:val="en-GB"/>
              </w:rPr>
              <w:t>证券融资交易资产余额</w:t>
            </w:r>
          </w:p>
        </w:tc>
        <w:tc>
          <w:tcPr>
            <w:tcW w:w="1409" w:type="dxa"/>
            <w:tcBorders>
              <w:top w:val="single" w:color="auto" w:sz="2" w:space="0"/>
            </w:tcBorders>
            <w:shd w:val="clear" w:color="auto" w:fill="CCCCCC"/>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471903</w:t>
            </w: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noWrap/>
            <w:vAlign w:val="center"/>
          </w:tcPr>
          <w:p>
            <w:pPr>
              <w:jc w:val="center"/>
              <w:rPr>
                <w:rFonts w:hint="eastAsia" w:eastAsia="仿宋_GB2312"/>
                <w:sz w:val="24"/>
                <w:szCs w:val="30"/>
                <w:lang w:val="en-GB"/>
              </w:rPr>
            </w:pPr>
            <w:r>
              <w:rPr>
                <w:rFonts w:eastAsia="仿宋_GB2312"/>
                <w:sz w:val="24"/>
                <w:szCs w:val="30"/>
                <w:lang w:val="en-GB"/>
              </w:rPr>
              <w:t>1</w:t>
            </w:r>
            <w:r>
              <w:rPr>
                <w:rFonts w:hint="eastAsia" w:eastAsia="仿宋_GB2312"/>
                <w:sz w:val="24"/>
                <w:szCs w:val="30"/>
                <w:lang w:val="en-GB"/>
              </w:rPr>
              <w:t>7</w:t>
            </w:r>
          </w:p>
        </w:tc>
        <w:tc>
          <w:tcPr>
            <w:tcW w:w="6300" w:type="dxa"/>
            <w:noWrap w:val="0"/>
            <w:vAlign w:val="center"/>
          </w:tcPr>
          <w:p>
            <w:pPr>
              <w:pStyle w:val="13"/>
              <w:jc w:val="both"/>
              <w:rPr>
                <w:rFonts w:ascii="Times New Roman" w:hAnsi="Times New Roman" w:eastAsia="仿宋_GB2312"/>
                <w:sz w:val="24"/>
                <w:szCs w:val="30"/>
                <w:lang w:val="en-GB"/>
              </w:rPr>
            </w:pPr>
            <w:r>
              <w:rPr>
                <w:rFonts w:ascii="Times New Roman" w:hAnsi="Times New Roman" w:eastAsia="仿宋_GB2312"/>
                <w:sz w:val="24"/>
                <w:szCs w:val="30"/>
                <w:lang w:val="en-GB"/>
              </w:rPr>
              <w:t>表外项目</w:t>
            </w:r>
            <w:r>
              <w:rPr>
                <w:rFonts w:hint="eastAsia" w:ascii="Times New Roman" w:hAnsi="Times New Roman" w:eastAsia="仿宋_GB2312"/>
                <w:sz w:val="24"/>
                <w:szCs w:val="30"/>
                <w:lang w:val="en-GB"/>
              </w:rPr>
              <w:t>余</w:t>
            </w:r>
            <w:r>
              <w:rPr>
                <w:rFonts w:ascii="Times New Roman" w:hAnsi="Times New Roman" w:eastAsia="仿宋_GB2312"/>
                <w:sz w:val="24"/>
                <w:szCs w:val="30"/>
                <w:lang w:val="en-GB"/>
              </w:rPr>
              <w:t>额</w:t>
            </w:r>
          </w:p>
        </w:tc>
        <w:tc>
          <w:tcPr>
            <w:tcW w:w="1409" w:type="dxa"/>
            <w:noWrap w:val="0"/>
            <w:vAlign w:val="center"/>
          </w:tcPr>
          <w:p>
            <w:pPr>
              <w:jc w:val="right"/>
              <w:rPr>
                <w:rFonts w:hint="default" w:ascii="Arial" w:hAnsi="Arial" w:cs="Arial"/>
              </w:rPr>
            </w:pP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tcBorders>
              <w:bottom w:val="single" w:color="auto" w:sz="2" w:space="0"/>
            </w:tcBorders>
            <w:noWrap/>
            <w:vAlign w:val="center"/>
          </w:tcPr>
          <w:p>
            <w:pPr>
              <w:jc w:val="center"/>
              <w:rPr>
                <w:rFonts w:hint="eastAsia" w:eastAsia="仿宋_GB2312"/>
                <w:sz w:val="24"/>
                <w:szCs w:val="30"/>
                <w:lang w:val="en-GB"/>
              </w:rPr>
            </w:pPr>
            <w:r>
              <w:rPr>
                <w:rFonts w:eastAsia="仿宋_GB2312"/>
                <w:sz w:val="24"/>
                <w:szCs w:val="30"/>
                <w:lang w:val="en-GB"/>
              </w:rPr>
              <w:t>1</w:t>
            </w:r>
            <w:r>
              <w:rPr>
                <w:rFonts w:hint="eastAsia" w:eastAsia="仿宋_GB2312"/>
                <w:sz w:val="24"/>
                <w:szCs w:val="30"/>
                <w:lang w:val="en-GB"/>
              </w:rPr>
              <w:t>8</w:t>
            </w:r>
          </w:p>
        </w:tc>
        <w:tc>
          <w:tcPr>
            <w:tcW w:w="6300" w:type="dxa"/>
            <w:tcBorders>
              <w:bottom w:val="single" w:color="auto" w:sz="2" w:space="0"/>
            </w:tcBorders>
            <w:noWrap w:val="0"/>
            <w:vAlign w:val="center"/>
          </w:tcPr>
          <w:p>
            <w:pPr>
              <w:pStyle w:val="13"/>
              <w:jc w:val="both"/>
              <w:rPr>
                <w:rFonts w:ascii="Times New Roman" w:hAnsi="Times New Roman" w:eastAsia="仿宋_GB2312"/>
                <w:sz w:val="24"/>
                <w:szCs w:val="30"/>
                <w:lang w:val="en-GB"/>
              </w:rPr>
            </w:pPr>
            <w:r>
              <w:rPr>
                <w:rFonts w:ascii="Times New Roman" w:hAnsi="Times New Roman" w:eastAsia="仿宋_GB2312"/>
                <w:sz w:val="24"/>
                <w:szCs w:val="30"/>
                <w:lang w:val="en-GB"/>
              </w:rPr>
              <w:t>减：因信用转换减少的表外项目余额</w:t>
            </w:r>
          </w:p>
        </w:tc>
        <w:tc>
          <w:tcPr>
            <w:tcW w:w="1409" w:type="dxa"/>
            <w:tcBorders>
              <w:bottom w:val="single" w:color="auto" w:sz="2" w:space="0"/>
            </w:tcBorders>
            <w:noWrap w:val="0"/>
            <w:vAlign w:val="center"/>
          </w:tcPr>
          <w:p>
            <w:pPr>
              <w:jc w:val="right"/>
              <w:rPr>
                <w:rFonts w:hint="default" w:ascii="Arial" w:hAnsi="Arial" w:cs="Arial"/>
              </w:rPr>
            </w:pP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shd w:val="clear" w:color="auto" w:fill="auto"/>
            <w:noWrap/>
            <w:vAlign w:val="center"/>
          </w:tcPr>
          <w:p>
            <w:pPr>
              <w:jc w:val="center"/>
              <w:rPr>
                <w:rFonts w:hint="eastAsia" w:eastAsia="仿宋_GB2312"/>
                <w:sz w:val="24"/>
                <w:szCs w:val="30"/>
                <w:lang w:val="en-GB"/>
              </w:rPr>
            </w:pPr>
            <w:r>
              <w:rPr>
                <w:rFonts w:eastAsia="仿宋_GB2312"/>
                <w:sz w:val="24"/>
                <w:szCs w:val="30"/>
                <w:lang w:val="en-GB"/>
              </w:rPr>
              <w:t>1</w:t>
            </w:r>
            <w:r>
              <w:rPr>
                <w:rFonts w:hint="eastAsia" w:eastAsia="仿宋_GB2312"/>
                <w:sz w:val="24"/>
                <w:szCs w:val="30"/>
                <w:lang w:val="en-GB"/>
              </w:rPr>
              <w:t>9</w:t>
            </w:r>
          </w:p>
        </w:tc>
        <w:tc>
          <w:tcPr>
            <w:tcW w:w="6300" w:type="dxa"/>
            <w:shd w:val="clear" w:color="auto" w:fill="auto"/>
            <w:noWrap w:val="0"/>
            <w:vAlign w:val="center"/>
          </w:tcPr>
          <w:p>
            <w:pPr>
              <w:pStyle w:val="13"/>
              <w:jc w:val="both"/>
              <w:rPr>
                <w:rFonts w:ascii="Times New Roman" w:hAnsi="Times New Roman" w:eastAsia="仿宋_GB2312"/>
                <w:b/>
                <w:sz w:val="24"/>
                <w:szCs w:val="30"/>
                <w:lang w:val="en-GB"/>
              </w:rPr>
            </w:pPr>
            <w:r>
              <w:rPr>
                <w:rFonts w:ascii="Times New Roman" w:hAnsi="Times New Roman" w:eastAsia="仿宋_GB2312"/>
                <w:b/>
                <w:sz w:val="24"/>
                <w:szCs w:val="30"/>
                <w:lang w:val="en-GB"/>
              </w:rPr>
              <w:t>调整后的表外项目余额</w:t>
            </w:r>
          </w:p>
        </w:tc>
        <w:tc>
          <w:tcPr>
            <w:tcW w:w="1409" w:type="dxa"/>
            <w:tcBorders>
              <w:top w:val="single" w:color="auto" w:sz="2" w:space="0"/>
            </w:tcBorders>
            <w:shd w:val="clear" w:color="auto" w:fill="CCCCCC"/>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19,935,775</w:t>
            </w: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19" w:hRule="atLeast"/>
          <w:jc w:val="center"/>
        </w:trPr>
        <w:tc>
          <w:tcPr>
            <w:tcW w:w="900" w:type="dxa"/>
            <w:tcBorders>
              <w:top w:val="single" w:color="auto" w:sz="2" w:space="0"/>
            </w:tcBorders>
            <w:noWrap/>
            <w:vAlign w:val="top"/>
          </w:tcPr>
          <w:p>
            <w:pPr>
              <w:jc w:val="center"/>
              <w:rPr>
                <w:rFonts w:hint="eastAsia" w:eastAsia="仿宋_GB2312"/>
                <w:sz w:val="24"/>
                <w:szCs w:val="30"/>
                <w:lang w:val="en-GB"/>
              </w:rPr>
            </w:pPr>
            <w:r>
              <w:rPr>
                <w:rFonts w:eastAsia="仿宋_GB2312"/>
                <w:sz w:val="24"/>
                <w:szCs w:val="30"/>
                <w:lang w:val="en-GB"/>
              </w:rPr>
              <w:t>2</w:t>
            </w:r>
            <w:r>
              <w:rPr>
                <w:rFonts w:hint="eastAsia" w:eastAsia="仿宋_GB2312"/>
                <w:sz w:val="24"/>
                <w:szCs w:val="30"/>
                <w:lang w:val="en-GB"/>
              </w:rPr>
              <w:t>0</w:t>
            </w:r>
          </w:p>
        </w:tc>
        <w:tc>
          <w:tcPr>
            <w:tcW w:w="6300" w:type="dxa"/>
            <w:tcBorders>
              <w:top w:val="single" w:color="auto" w:sz="2" w:space="0"/>
            </w:tcBorders>
            <w:noWrap w:val="0"/>
            <w:vAlign w:val="center"/>
          </w:tcPr>
          <w:p>
            <w:pPr>
              <w:rPr>
                <w:rFonts w:eastAsia="仿宋_GB2312"/>
                <w:sz w:val="24"/>
                <w:szCs w:val="30"/>
                <w:lang w:val="en-GB"/>
              </w:rPr>
            </w:pPr>
            <w:r>
              <w:rPr>
                <w:rFonts w:eastAsia="仿宋_GB2312"/>
                <w:sz w:val="24"/>
                <w:szCs w:val="30"/>
                <w:lang w:val="en-GB"/>
              </w:rPr>
              <w:t>一级资本净额</w:t>
            </w:r>
          </w:p>
        </w:tc>
        <w:tc>
          <w:tcPr>
            <w:tcW w:w="1409" w:type="dxa"/>
            <w:tcBorders>
              <w:top w:val="single" w:color="auto" w:sz="2"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14,784,311</w:t>
            </w: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 w:hRule="atLeast"/>
          <w:jc w:val="center"/>
        </w:trPr>
        <w:tc>
          <w:tcPr>
            <w:tcW w:w="900" w:type="dxa"/>
            <w:tcBorders>
              <w:top w:val="single" w:color="auto" w:sz="2" w:space="0"/>
            </w:tcBorders>
            <w:noWrap/>
            <w:vAlign w:val="top"/>
          </w:tcPr>
          <w:p>
            <w:pPr>
              <w:jc w:val="center"/>
              <w:rPr>
                <w:rFonts w:hint="eastAsia" w:eastAsia="仿宋_GB2312"/>
                <w:sz w:val="24"/>
                <w:szCs w:val="30"/>
                <w:lang w:val="en-GB"/>
              </w:rPr>
            </w:pPr>
            <w:r>
              <w:rPr>
                <w:rFonts w:eastAsia="仿宋_GB2312"/>
                <w:sz w:val="24"/>
                <w:szCs w:val="30"/>
                <w:lang w:val="en-GB"/>
              </w:rPr>
              <w:t>2</w:t>
            </w:r>
            <w:r>
              <w:rPr>
                <w:rFonts w:hint="eastAsia" w:eastAsia="仿宋_GB2312"/>
                <w:sz w:val="24"/>
                <w:szCs w:val="30"/>
                <w:lang w:val="en-GB"/>
              </w:rPr>
              <w:t>1</w:t>
            </w:r>
          </w:p>
        </w:tc>
        <w:tc>
          <w:tcPr>
            <w:tcW w:w="6300" w:type="dxa"/>
            <w:tcBorders>
              <w:top w:val="single" w:color="auto" w:sz="2" w:space="0"/>
            </w:tcBorders>
            <w:noWrap w:val="0"/>
            <w:vAlign w:val="center"/>
          </w:tcPr>
          <w:p>
            <w:pPr>
              <w:rPr>
                <w:rFonts w:eastAsia="仿宋_GB2312"/>
                <w:sz w:val="24"/>
                <w:szCs w:val="30"/>
                <w:lang w:val="en-GB"/>
              </w:rPr>
            </w:pPr>
            <w:r>
              <w:rPr>
                <w:rFonts w:eastAsia="仿宋_GB2312"/>
                <w:sz w:val="24"/>
                <w:szCs w:val="30"/>
                <w:lang w:val="en-GB"/>
              </w:rPr>
              <w:t>调整后的表内外资产余额</w:t>
            </w:r>
          </w:p>
        </w:tc>
        <w:tc>
          <w:tcPr>
            <w:tcW w:w="1409" w:type="dxa"/>
            <w:tcBorders>
              <w:top w:val="single" w:color="auto" w:sz="2" w:space="0"/>
            </w:tcBorders>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220,447,993</w:t>
            </w:r>
          </w:p>
        </w:tc>
      </w:tr>
      <w:tr>
        <w:tblPrEx>
          <w:tblBorders>
            <w:top w:val="single" w:color="auto" w:sz="8"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9" w:hRule="atLeast"/>
          <w:jc w:val="center"/>
        </w:trPr>
        <w:tc>
          <w:tcPr>
            <w:tcW w:w="900" w:type="dxa"/>
            <w:tcBorders>
              <w:top w:val="single" w:color="auto" w:sz="2" w:space="0"/>
              <w:bottom w:val="single" w:color="auto" w:sz="2" w:space="0"/>
            </w:tcBorders>
            <w:shd w:val="clear" w:color="auto" w:fill="auto"/>
            <w:noWrap/>
            <w:vAlign w:val="center"/>
          </w:tcPr>
          <w:p>
            <w:pPr>
              <w:jc w:val="center"/>
              <w:rPr>
                <w:rFonts w:hint="eastAsia" w:eastAsia="仿宋_GB2312"/>
                <w:sz w:val="24"/>
                <w:szCs w:val="30"/>
                <w:lang w:val="en-GB"/>
              </w:rPr>
            </w:pPr>
            <w:r>
              <w:rPr>
                <w:rFonts w:eastAsia="仿宋_GB2312"/>
                <w:sz w:val="24"/>
                <w:szCs w:val="30"/>
                <w:lang w:val="en-GB"/>
              </w:rPr>
              <w:t>2</w:t>
            </w:r>
            <w:r>
              <w:rPr>
                <w:rFonts w:hint="eastAsia" w:eastAsia="仿宋_GB2312"/>
                <w:sz w:val="24"/>
                <w:szCs w:val="30"/>
                <w:lang w:val="en-GB"/>
              </w:rPr>
              <w:t>2</w:t>
            </w:r>
          </w:p>
        </w:tc>
        <w:tc>
          <w:tcPr>
            <w:tcW w:w="6300" w:type="dxa"/>
            <w:tcBorders>
              <w:top w:val="single" w:color="auto" w:sz="2" w:space="0"/>
              <w:bottom w:val="single" w:color="auto" w:sz="2" w:space="0"/>
            </w:tcBorders>
            <w:shd w:val="clear" w:color="auto" w:fill="auto"/>
            <w:noWrap w:val="0"/>
            <w:vAlign w:val="center"/>
          </w:tcPr>
          <w:p>
            <w:pPr>
              <w:pStyle w:val="13"/>
              <w:jc w:val="both"/>
              <w:rPr>
                <w:rFonts w:ascii="Times New Roman" w:hAnsi="Times New Roman" w:eastAsia="仿宋_GB2312"/>
                <w:sz w:val="24"/>
                <w:szCs w:val="30"/>
                <w:lang w:val="en-GB"/>
              </w:rPr>
            </w:pPr>
            <w:r>
              <w:rPr>
                <w:rFonts w:ascii="Times New Roman" w:hAnsi="Times New Roman" w:eastAsia="仿宋_GB2312"/>
                <w:b/>
                <w:sz w:val="24"/>
                <w:szCs w:val="30"/>
                <w:lang w:val="en-GB"/>
              </w:rPr>
              <w:t>杠杆率</w:t>
            </w:r>
          </w:p>
        </w:tc>
        <w:tc>
          <w:tcPr>
            <w:tcW w:w="1409" w:type="dxa"/>
            <w:tcBorders>
              <w:top w:val="single" w:color="auto" w:sz="2" w:space="0"/>
              <w:bottom w:val="single" w:color="auto" w:sz="2" w:space="0"/>
            </w:tcBorders>
            <w:shd w:val="clear" w:color="auto" w:fill="CCCCCC"/>
            <w:noWrap w:val="0"/>
            <w:vAlign w:val="center"/>
          </w:tcPr>
          <w:p>
            <w:pPr>
              <w:keepNext w:val="0"/>
              <w:keepLines w:val="0"/>
              <w:widowControl/>
              <w:suppressLineNumbers w:val="0"/>
              <w:jc w:val="right"/>
              <w:textAlignment w:val="center"/>
              <w:rPr>
                <w:rFonts w:hint="default" w:ascii="Arial" w:hAnsi="Arial" w:cs="Arial"/>
              </w:rPr>
            </w:pPr>
            <w:r>
              <w:rPr>
                <w:rFonts w:hint="default" w:ascii="Arial" w:hAnsi="Arial" w:eastAsia="宋体" w:cs="Arial"/>
                <w:i w:val="0"/>
                <w:color w:val="000000"/>
                <w:kern w:val="0"/>
                <w:sz w:val="21"/>
                <w:szCs w:val="21"/>
                <w:u w:val="none"/>
                <w:lang w:val="en-US" w:eastAsia="zh-CN" w:bidi="ar"/>
              </w:rPr>
              <w:t>6.71%</w:t>
            </w:r>
          </w:p>
        </w:tc>
      </w:tr>
    </w:tbl>
    <w:p>
      <w:pPr>
        <w:ind w:firstLine="420"/>
        <w:rPr>
          <w:rFonts w:ascii="宋体" w:hAnsi="宋体"/>
        </w:rPr>
      </w:pPr>
      <w:r>
        <w:rPr>
          <w:rFonts w:hint="eastAsia" w:ascii="宋体" w:hAnsi="宋体"/>
          <w:sz w:val="30"/>
          <w:szCs w:val="30"/>
        </w:rPr>
        <w:t>注</w:t>
      </w:r>
      <w:r>
        <w:rPr>
          <w:rFonts w:ascii="宋体" w:hAnsi="宋体"/>
          <w:sz w:val="30"/>
          <w:szCs w:val="30"/>
        </w:rPr>
        <w:t>：以上杠杆率数据为集团口径报表数据</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lang/>
      </w:rPr>
      <w:t>2</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49C"/>
    <w:rsid w:val="000061BC"/>
    <w:rsid w:val="00014DA0"/>
    <w:rsid w:val="00015D45"/>
    <w:rsid w:val="000171C8"/>
    <w:rsid w:val="00020C3C"/>
    <w:rsid w:val="00021928"/>
    <w:rsid w:val="000255EF"/>
    <w:rsid w:val="00035813"/>
    <w:rsid w:val="00040B23"/>
    <w:rsid w:val="000445DF"/>
    <w:rsid w:val="000556F1"/>
    <w:rsid w:val="00055BB9"/>
    <w:rsid w:val="000646EE"/>
    <w:rsid w:val="00064AA2"/>
    <w:rsid w:val="000672AE"/>
    <w:rsid w:val="000A0C2F"/>
    <w:rsid w:val="000A59D9"/>
    <w:rsid w:val="000A6B5A"/>
    <w:rsid w:val="000B1F0B"/>
    <w:rsid w:val="000B40B5"/>
    <w:rsid w:val="000B4C18"/>
    <w:rsid w:val="000B7C11"/>
    <w:rsid w:val="000E31BA"/>
    <w:rsid w:val="000E327C"/>
    <w:rsid w:val="000E35E4"/>
    <w:rsid w:val="000E3CF3"/>
    <w:rsid w:val="000F780F"/>
    <w:rsid w:val="001069C9"/>
    <w:rsid w:val="0011750D"/>
    <w:rsid w:val="001329DC"/>
    <w:rsid w:val="00133313"/>
    <w:rsid w:val="00140DC1"/>
    <w:rsid w:val="0014177A"/>
    <w:rsid w:val="001545D9"/>
    <w:rsid w:val="001601AA"/>
    <w:rsid w:val="00161EFB"/>
    <w:rsid w:val="001727EA"/>
    <w:rsid w:val="00174558"/>
    <w:rsid w:val="00174604"/>
    <w:rsid w:val="00182DAD"/>
    <w:rsid w:val="00194352"/>
    <w:rsid w:val="001B1FEC"/>
    <w:rsid w:val="001B2939"/>
    <w:rsid w:val="001B3C4A"/>
    <w:rsid w:val="001B4B76"/>
    <w:rsid w:val="001B6310"/>
    <w:rsid w:val="001B7BB2"/>
    <w:rsid w:val="001C4609"/>
    <w:rsid w:val="001D1088"/>
    <w:rsid w:val="001D1327"/>
    <w:rsid w:val="001D4CBE"/>
    <w:rsid w:val="001E2802"/>
    <w:rsid w:val="001F0425"/>
    <w:rsid w:val="00200CEA"/>
    <w:rsid w:val="002242D0"/>
    <w:rsid w:val="002260AD"/>
    <w:rsid w:val="002273DD"/>
    <w:rsid w:val="00235D33"/>
    <w:rsid w:val="00242849"/>
    <w:rsid w:val="00265624"/>
    <w:rsid w:val="00274DA6"/>
    <w:rsid w:val="00286140"/>
    <w:rsid w:val="002921EB"/>
    <w:rsid w:val="002A0FF3"/>
    <w:rsid w:val="002A3CDE"/>
    <w:rsid w:val="002A6DE4"/>
    <w:rsid w:val="002B082A"/>
    <w:rsid w:val="002C039B"/>
    <w:rsid w:val="002C5E15"/>
    <w:rsid w:val="002C5FE5"/>
    <w:rsid w:val="002C6B0C"/>
    <w:rsid w:val="002F12FD"/>
    <w:rsid w:val="00300C44"/>
    <w:rsid w:val="00310A20"/>
    <w:rsid w:val="00323F8B"/>
    <w:rsid w:val="00327FCE"/>
    <w:rsid w:val="003306E2"/>
    <w:rsid w:val="00334EF7"/>
    <w:rsid w:val="003375DE"/>
    <w:rsid w:val="00342C8B"/>
    <w:rsid w:val="00345119"/>
    <w:rsid w:val="00362987"/>
    <w:rsid w:val="00363C34"/>
    <w:rsid w:val="0037428D"/>
    <w:rsid w:val="0038624B"/>
    <w:rsid w:val="0038744C"/>
    <w:rsid w:val="0038754B"/>
    <w:rsid w:val="003902E6"/>
    <w:rsid w:val="003B06DB"/>
    <w:rsid w:val="003B3360"/>
    <w:rsid w:val="003C0547"/>
    <w:rsid w:val="003C6FC4"/>
    <w:rsid w:val="003D5106"/>
    <w:rsid w:val="003E221B"/>
    <w:rsid w:val="003F6800"/>
    <w:rsid w:val="003F77BE"/>
    <w:rsid w:val="004017CA"/>
    <w:rsid w:val="0040353D"/>
    <w:rsid w:val="0040629A"/>
    <w:rsid w:val="00421671"/>
    <w:rsid w:val="00433180"/>
    <w:rsid w:val="00452907"/>
    <w:rsid w:val="00461092"/>
    <w:rsid w:val="004618A6"/>
    <w:rsid w:val="00466AB9"/>
    <w:rsid w:val="00466BE7"/>
    <w:rsid w:val="00471E84"/>
    <w:rsid w:val="00483EA8"/>
    <w:rsid w:val="00485410"/>
    <w:rsid w:val="004855B3"/>
    <w:rsid w:val="00486336"/>
    <w:rsid w:val="00490EC1"/>
    <w:rsid w:val="00491489"/>
    <w:rsid w:val="004919DD"/>
    <w:rsid w:val="00491BCA"/>
    <w:rsid w:val="0049656F"/>
    <w:rsid w:val="004974B7"/>
    <w:rsid w:val="004B0A33"/>
    <w:rsid w:val="004B0D29"/>
    <w:rsid w:val="004B6029"/>
    <w:rsid w:val="004C194F"/>
    <w:rsid w:val="004C4A8F"/>
    <w:rsid w:val="004D0CBC"/>
    <w:rsid w:val="004D7D9B"/>
    <w:rsid w:val="004E02F6"/>
    <w:rsid w:val="004E6D41"/>
    <w:rsid w:val="00500C36"/>
    <w:rsid w:val="00510ED6"/>
    <w:rsid w:val="0051226E"/>
    <w:rsid w:val="00513232"/>
    <w:rsid w:val="00515D2E"/>
    <w:rsid w:val="00516B76"/>
    <w:rsid w:val="00520C2F"/>
    <w:rsid w:val="00527E87"/>
    <w:rsid w:val="00531E2F"/>
    <w:rsid w:val="00535D0D"/>
    <w:rsid w:val="00547B84"/>
    <w:rsid w:val="00552AE0"/>
    <w:rsid w:val="00555BA5"/>
    <w:rsid w:val="00556A4C"/>
    <w:rsid w:val="00556A81"/>
    <w:rsid w:val="00562A30"/>
    <w:rsid w:val="00563DDC"/>
    <w:rsid w:val="005657C2"/>
    <w:rsid w:val="0058249B"/>
    <w:rsid w:val="005845CE"/>
    <w:rsid w:val="00592A2A"/>
    <w:rsid w:val="005A6C96"/>
    <w:rsid w:val="005B1B6A"/>
    <w:rsid w:val="005C1A43"/>
    <w:rsid w:val="005C3D34"/>
    <w:rsid w:val="005C4969"/>
    <w:rsid w:val="005D6E67"/>
    <w:rsid w:val="005E391E"/>
    <w:rsid w:val="005F129A"/>
    <w:rsid w:val="00603883"/>
    <w:rsid w:val="00604D60"/>
    <w:rsid w:val="0061194A"/>
    <w:rsid w:val="00612399"/>
    <w:rsid w:val="006177C0"/>
    <w:rsid w:val="00625102"/>
    <w:rsid w:val="0062759E"/>
    <w:rsid w:val="00627F4B"/>
    <w:rsid w:val="00630E53"/>
    <w:rsid w:val="006529F7"/>
    <w:rsid w:val="00681D4A"/>
    <w:rsid w:val="00683535"/>
    <w:rsid w:val="006866E0"/>
    <w:rsid w:val="006917A8"/>
    <w:rsid w:val="00691B5B"/>
    <w:rsid w:val="006B5325"/>
    <w:rsid w:val="006C2796"/>
    <w:rsid w:val="006C5EFB"/>
    <w:rsid w:val="006D12E9"/>
    <w:rsid w:val="006D2E87"/>
    <w:rsid w:val="006D31AF"/>
    <w:rsid w:val="006D32B1"/>
    <w:rsid w:val="006E0C6F"/>
    <w:rsid w:val="006E21AB"/>
    <w:rsid w:val="006E3ACD"/>
    <w:rsid w:val="00702FB6"/>
    <w:rsid w:val="0070350E"/>
    <w:rsid w:val="00705FA0"/>
    <w:rsid w:val="00716733"/>
    <w:rsid w:val="00721388"/>
    <w:rsid w:val="00741B95"/>
    <w:rsid w:val="0075034F"/>
    <w:rsid w:val="00766AC9"/>
    <w:rsid w:val="0077146F"/>
    <w:rsid w:val="00781511"/>
    <w:rsid w:val="007837B3"/>
    <w:rsid w:val="0079237E"/>
    <w:rsid w:val="007B30BE"/>
    <w:rsid w:val="007C1E59"/>
    <w:rsid w:val="007D0E95"/>
    <w:rsid w:val="007D273A"/>
    <w:rsid w:val="007D7C48"/>
    <w:rsid w:val="007D7FDF"/>
    <w:rsid w:val="007E3401"/>
    <w:rsid w:val="007E5918"/>
    <w:rsid w:val="008025A3"/>
    <w:rsid w:val="00804DEE"/>
    <w:rsid w:val="0080717F"/>
    <w:rsid w:val="0080745A"/>
    <w:rsid w:val="00807B27"/>
    <w:rsid w:val="00812B18"/>
    <w:rsid w:val="00817609"/>
    <w:rsid w:val="008201A0"/>
    <w:rsid w:val="008203EA"/>
    <w:rsid w:val="008242C1"/>
    <w:rsid w:val="008243F1"/>
    <w:rsid w:val="00825771"/>
    <w:rsid w:val="00831678"/>
    <w:rsid w:val="00831D7E"/>
    <w:rsid w:val="00866D3E"/>
    <w:rsid w:val="00867C35"/>
    <w:rsid w:val="0089026B"/>
    <w:rsid w:val="00897245"/>
    <w:rsid w:val="008A37CC"/>
    <w:rsid w:val="008A47E3"/>
    <w:rsid w:val="008C19AF"/>
    <w:rsid w:val="008C38F9"/>
    <w:rsid w:val="008D0CE6"/>
    <w:rsid w:val="008D146C"/>
    <w:rsid w:val="008D7551"/>
    <w:rsid w:val="008D7AA0"/>
    <w:rsid w:val="008E2B73"/>
    <w:rsid w:val="008F21CC"/>
    <w:rsid w:val="008F3AC1"/>
    <w:rsid w:val="008F546A"/>
    <w:rsid w:val="008F72EB"/>
    <w:rsid w:val="00920652"/>
    <w:rsid w:val="00925BC2"/>
    <w:rsid w:val="009274DB"/>
    <w:rsid w:val="00932DC2"/>
    <w:rsid w:val="00934401"/>
    <w:rsid w:val="009428F6"/>
    <w:rsid w:val="00953969"/>
    <w:rsid w:val="00963BDE"/>
    <w:rsid w:val="00986EEC"/>
    <w:rsid w:val="009938E2"/>
    <w:rsid w:val="009A1A05"/>
    <w:rsid w:val="009A1DCC"/>
    <w:rsid w:val="009D444B"/>
    <w:rsid w:val="009E13CA"/>
    <w:rsid w:val="009E32A4"/>
    <w:rsid w:val="009E68A6"/>
    <w:rsid w:val="00A01C8F"/>
    <w:rsid w:val="00A045C3"/>
    <w:rsid w:val="00A0488D"/>
    <w:rsid w:val="00A0728F"/>
    <w:rsid w:val="00A36B93"/>
    <w:rsid w:val="00A40392"/>
    <w:rsid w:val="00A40694"/>
    <w:rsid w:val="00A40A45"/>
    <w:rsid w:val="00A558FF"/>
    <w:rsid w:val="00A5664C"/>
    <w:rsid w:val="00A7249C"/>
    <w:rsid w:val="00A76B59"/>
    <w:rsid w:val="00A778B0"/>
    <w:rsid w:val="00A85420"/>
    <w:rsid w:val="00A9149C"/>
    <w:rsid w:val="00A92E65"/>
    <w:rsid w:val="00A949B4"/>
    <w:rsid w:val="00AA05B7"/>
    <w:rsid w:val="00AB14D7"/>
    <w:rsid w:val="00AC192D"/>
    <w:rsid w:val="00AE1F34"/>
    <w:rsid w:val="00AF7F67"/>
    <w:rsid w:val="00B010A6"/>
    <w:rsid w:val="00B14431"/>
    <w:rsid w:val="00B16A20"/>
    <w:rsid w:val="00B328FE"/>
    <w:rsid w:val="00B353D4"/>
    <w:rsid w:val="00B44C4D"/>
    <w:rsid w:val="00B46F4D"/>
    <w:rsid w:val="00B54B5B"/>
    <w:rsid w:val="00B57F56"/>
    <w:rsid w:val="00B62264"/>
    <w:rsid w:val="00B635D8"/>
    <w:rsid w:val="00B63817"/>
    <w:rsid w:val="00B83A86"/>
    <w:rsid w:val="00B84E3E"/>
    <w:rsid w:val="00BA0376"/>
    <w:rsid w:val="00BA6A41"/>
    <w:rsid w:val="00BB762B"/>
    <w:rsid w:val="00BC289D"/>
    <w:rsid w:val="00BD2017"/>
    <w:rsid w:val="00BD3B6B"/>
    <w:rsid w:val="00BE4B03"/>
    <w:rsid w:val="00C00014"/>
    <w:rsid w:val="00C04867"/>
    <w:rsid w:val="00C12F61"/>
    <w:rsid w:val="00C168EA"/>
    <w:rsid w:val="00C22B89"/>
    <w:rsid w:val="00C23BB3"/>
    <w:rsid w:val="00C37C4E"/>
    <w:rsid w:val="00C52062"/>
    <w:rsid w:val="00C54185"/>
    <w:rsid w:val="00C54E75"/>
    <w:rsid w:val="00C603DD"/>
    <w:rsid w:val="00C60805"/>
    <w:rsid w:val="00C62E63"/>
    <w:rsid w:val="00C66EE5"/>
    <w:rsid w:val="00C6727D"/>
    <w:rsid w:val="00C705A9"/>
    <w:rsid w:val="00C709A6"/>
    <w:rsid w:val="00C77E7E"/>
    <w:rsid w:val="00C853A5"/>
    <w:rsid w:val="00C90F55"/>
    <w:rsid w:val="00C928A6"/>
    <w:rsid w:val="00C9318C"/>
    <w:rsid w:val="00C97611"/>
    <w:rsid w:val="00C977B9"/>
    <w:rsid w:val="00CA0505"/>
    <w:rsid w:val="00CA344B"/>
    <w:rsid w:val="00CA7371"/>
    <w:rsid w:val="00CB556C"/>
    <w:rsid w:val="00CC25F3"/>
    <w:rsid w:val="00CC2DA2"/>
    <w:rsid w:val="00CC4D54"/>
    <w:rsid w:val="00CD0B2D"/>
    <w:rsid w:val="00CD1355"/>
    <w:rsid w:val="00CE1394"/>
    <w:rsid w:val="00CF4C43"/>
    <w:rsid w:val="00D006CC"/>
    <w:rsid w:val="00D06521"/>
    <w:rsid w:val="00D078FE"/>
    <w:rsid w:val="00D11DDD"/>
    <w:rsid w:val="00D1225C"/>
    <w:rsid w:val="00D12AE8"/>
    <w:rsid w:val="00D13BFB"/>
    <w:rsid w:val="00D23BC2"/>
    <w:rsid w:val="00D34499"/>
    <w:rsid w:val="00D37B71"/>
    <w:rsid w:val="00D41987"/>
    <w:rsid w:val="00D44F19"/>
    <w:rsid w:val="00D50203"/>
    <w:rsid w:val="00D52522"/>
    <w:rsid w:val="00D633AD"/>
    <w:rsid w:val="00D643E5"/>
    <w:rsid w:val="00D67086"/>
    <w:rsid w:val="00D71C9F"/>
    <w:rsid w:val="00D86A25"/>
    <w:rsid w:val="00D92E9F"/>
    <w:rsid w:val="00D9392F"/>
    <w:rsid w:val="00D95688"/>
    <w:rsid w:val="00DB539D"/>
    <w:rsid w:val="00DB606B"/>
    <w:rsid w:val="00DD0827"/>
    <w:rsid w:val="00DD7208"/>
    <w:rsid w:val="00DF0394"/>
    <w:rsid w:val="00DF2043"/>
    <w:rsid w:val="00DF68E6"/>
    <w:rsid w:val="00DF79F5"/>
    <w:rsid w:val="00E04224"/>
    <w:rsid w:val="00E06D5F"/>
    <w:rsid w:val="00E45B51"/>
    <w:rsid w:val="00E46D0F"/>
    <w:rsid w:val="00E57296"/>
    <w:rsid w:val="00E57EBA"/>
    <w:rsid w:val="00E65142"/>
    <w:rsid w:val="00E65926"/>
    <w:rsid w:val="00E76D12"/>
    <w:rsid w:val="00E80A11"/>
    <w:rsid w:val="00E82EA0"/>
    <w:rsid w:val="00EA2100"/>
    <w:rsid w:val="00EA234B"/>
    <w:rsid w:val="00EB713E"/>
    <w:rsid w:val="00ED45E0"/>
    <w:rsid w:val="00EE5A13"/>
    <w:rsid w:val="00F37FB2"/>
    <w:rsid w:val="00F4516D"/>
    <w:rsid w:val="00F516C5"/>
    <w:rsid w:val="00F7509A"/>
    <w:rsid w:val="00F773EA"/>
    <w:rsid w:val="00F804A9"/>
    <w:rsid w:val="00F82148"/>
    <w:rsid w:val="00F871A8"/>
    <w:rsid w:val="00F92B8A"/>
    <w:rsid w:val="00F9566A"/>
    <w:rsid w:val="00F9638B"/>
    <w:rsid w:val="00FA0F05"/>
    <w:rsid w:val="00FB32BE"/>
    <w:rsid w:val="00FC218A"/>
    <w:rsid w:val="00FC7674"/>
    <w:rsid w:val="00FC7719"/>
    <w:rsid w:val="00FE02FD"/>
    <w:rsid w:val="00FE3E7C"/>
    <w:rsid w:val="00FF14BB"/>
    <w:rsid w:val="00FF3912"/>
    <w:rsid w:val="00FF5AD5"/>
    <w:rsid w:val="08241220"/>
    <w:rsid w:val="0F0E650C"/>
    <w:rsid w:val="0F5356CF"/>
    <w:rsid w:val="17E63EC2"/>
    <w:rsid w:val="215B1934"/>
    <w:rsid w:val="31DF7250"/>
    <w:rsid w:val="398E7E5D"/>
    <w:rsid w:val="3E0E075E"/>
    <w:rsid w:val="3F047A6A"/>
    <w:rsid w:val="45EC0F0B"/>
    <w:rsid w:val="4D37233B"/>
    <w:rsid w:val="52D564B2"/>
    <w:rsid w:val="564A1678"/>
    <w:rsid w:val="596912FD"/>
    <w:rsid w:val="59B95046"/>
    <w:rsid w:val="5C75606C"/>
    <w:rsid w:val="64DF571F"/>
    <w:rsid w:val="6B967E85"/>
    <w:rsid w:val="6F8553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annotation text"/>
    <w:basedOn w:val="1"/>
    <w:link w:val="15"/>
    <w:uiPriority w:val="0"/>
    <w:pPr>
      <w:jc w:val="left"/>
    </w:pPr>
  </w:style>
  <w:style w:type="paragraph" w:styleId="3">
    <w:name w:val="Balloon Text"/>
    <w:basedOn w:val="1"/>
    <w:semiHidden/>
    <w:uiPriority w:val="0"/>
    <w:rPr>
      <w:sz w:val="18"/>
      <w:szCs w:val="18"/>
    </w:rPr>
  </w:style>
  <w:style w:type="paragraph" w:styleId="4">
    <w:name w:val="footer"/>
    <w:basedOn w:val="1"/>
    <w:link w:val="17"/>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uiPriority w:val="0"/>
    <w:rPr>
      <w:b/>
      <w:bCs/>
    </w:rPr>
  </w:style>
  <w:style w:type="character" w:styleId="9">
    <w:name w:val="page number"/>
    <w:basedOn w:val="8"/>
    <w:uiPriority w:val="0"/>
  </w:style>
  <w:style w:type="character" w:styleId="10">
    <w:name w:val="annotation reference"/>
    <w:uiPriority w:val="0"/>
    <w:rPr>
      <w:sz w:val="21"/>
      <w:szCs w:val="21"/>
    </w:rPr>
  </w:style>
  <w:style w:type="paragraph" w:customStyle="1" w:styleId="11">
    <w:name w:val="List Paragraph"/>
    <w:basedOn w:val="1"/>
    <w:uiPriority w:val="0"/>
    <w:pPr>
      <w:ind w:firstLine="420" w:firstLineChars="200"/>
    </w:pPr>
    <w:rPr>
      <w:rFonts w:ascii="Calibri" w:hAnsi="Calibri" w:cs="Calibri"/>
      <w:szCs w:val="21"/>
    </w:rPr>
  </w:style>
  <w:style w:type="paragraph" w:customStyle="1" w:styleId="12">
    <w:name w:val="TableColumnHeading"/>
    <w:basedOn w:val="1"/>
    <w:uiPriority w:val="0"/>
    <w:pPr>
      <w:widowControl/>
      <w:tabs>
        <w:tab w:val="left" w:pos="794"/>
      </w:tabs>
      <w:spacing w:before="40" w:after="40"/>
      <w:jc w:val="center"/>
    </w:pPr>
    <w:rPr>
      <w:rFonts w:ascii="Segoe UI" w:hAnsi="Segoe UI"/>
      <w:sz w:val="17"/>
      <w:szCs w:val="17"/>
    </w:rPr>
  </w:style>
  <w:style w:type="paragraph" w:customStyle="1" w:styleId="13">
    <w:name w:val="TableText"/>
    <w:basedOn w:val="1"/>
    <w:uiPriority w:val="0"/>
    <w:pPr>
      <w:widowControl/>
      <w:tabs>
        <w:tab w:val="decimal" w:pos="474"/>
        <w:tab w:val="left" w:pos="794"/>
      </w:tabs>
      <w:spacing w:before="40" w:after="40"/>
      <w:jc w:val="left"/>
    </w:pPr>
    <w:rPr>
      <w:rFonts w:ascii="Segoe UI" w:hAnsi="Segoe UI"/>
      <w:sz w:val="17"/>
      <w:szCs w:val="17"/>
    </w:rPr>
  </w:style>
  <w:style w:type="character" w:customStyle="1" w:styleId="14">
    <w:name w:val="页眉 Char"/>
    <w:link w:val="5"/>
    <w:uiPriority w:val="0"/>
    <w:rPr>
      <w:kern w:val="2"/>
      <w:sz w:val="18"/>
      <w:szCs w:val="18"/>
    </w:rPr>
  </w:style>
  <w:style w:type="character" w:customStyle="1" w:styleId="15">
    <w:name w:val="批注文字 Char"/>
    <w:link w:val="2"/>
    <w:uiPriority w:val="0"/>
    <w:rPr>
      <w:kern w:val="2"/>
      <w:sz w:val="21"/>
      <w:szCs w:val="24"/>
    </w:rPr>
  </w:style>
  <w:style w:type="character" w:customStyle="1" w:styleId="16">
    <w:name w:val="批注主题 Char"/>
    <w:link w:val="6"/>
    <w:uiPriority w:val="0"/>
    <w:rPr>
      <w:b/>
      <w:bCs/>
      <w:kern w:val="2"/>
      <w:sz w:val="21"/>
      <w:szCs w:val="24"/>
    </w:rPr>
  </w:style>
  <w:style w:type="character" w:customStyle="1" w:styleId="17">
    <w:name w:val="页脚 Char"/>
    <w:link w:val="4"/>
    <w:semiHidden/>
    <w:locked/>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137</Words>
  <Characters>783</Characters>
  <Lines>6</Lines>
  <Paragraphs>1</Paragraphs>
  <TotalTime>0</TotalTime>
  <ScaleCrop>false</ScaleCrop>
  <LinksUpToDate>false</LinksUpToDate>
  <CharactersWithSpaces>919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2015-01-27T08:52:00Z</dcterms:created>
  <dc:creator>CBRC</dc:creator>
  <cp:lastModifiedBy>user</cp:lastModifiedBy>
  <dcterms:modified xsi:type="dcterms:W3CDTF">2023-10-31T07:19:25Z</dcterms:modified>
  <dc:title>附件3</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