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苏州农商银行</w:t>
      </w:r>
    </w:p>
    <w:p>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2024年第一季度第三支柱信息披露报告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公司为非国内系统重要性银行，根据《商业银行资本管理办法》（以下简称“办法”）附件22《商业银行信息披露内容和要求》的规定，公司按照办法第三章规定的并表范围披露相关信息。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6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96"/>
        <w:gridCol w:w="25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813" w:type="dxa"/>
            <w:gridSpan w:val="2"/>
            <w:vMerge w:val="restart"/>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813" w:type="dxa"/>
            <w:gridSpan w:val="2"/>
            <w:vMerge w:val="continue"/>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可用资本（</w:t>
            </w:r>
            <w:r>
              <w:rPr>
                <w:rFonts w:hint="eastAsia" w:ascii="仿宋_GB2312" w:hAnsi="仿宋" w:eastAsia="仿宋_GB2312" w:cs="Arial Unicode MS"/>
                <w:b/>
                <w:bCs/>
                <w:color w:val="000000" w:themeColor="text1"/>
                <w:sz w:val="28"/>
                <w:szCs w:val="28"/>
                <w:lang w:eastAsia="zh-CN"/>
                <w14:textFill>
                  <w14:solidFill>
                    <w14:schemeClr w14:val="tx1"/>
                  </w14:solidFill>
                </w14:textFill>
              </w:rPr>
              <w:t>数</w:t>
            </w:r>
            <w:r>
              <w:rPr>
                <w:rFonts w:hint="eastAsia" w:ascii="仿宋_GB2312" w:hAnsi="仿宋" w:eastAsia="仿宋_GB2312" w:cs="Arial Unicode MS"/>
                <w:b/>
                <w:bCs/>
                <w:color w:val="000000" w:themeColor="text1"/>
                <w:sz w:val="28"/>
                <w:szCs w:val="28"/>
                <w14:textFill>
                  <w14:solidFill>
                    <w14:schemeClr w14:val="tx1"/>
                  </w14:solidFill>
                </w14:textFill>
              </w:rPr>
              <w:t>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核心一级资本净额</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15336438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15340324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3</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17842159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4</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风险加权资产</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151787425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核心一级资本充足率（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6</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7</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11.75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8</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储备资本要求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9</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逆周期资本要求（</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7" w:type="dxa"/>
            <w:shd w:val="clear" w:color="auto" w:fill="auto"/>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10</w:t>
            </w:r>
          </w:p>
        </w:tc>
        <w:tc>
          <w:tcPr>
            <w:tcW w:w="4996" w:type="dxa"/>
            <w:shd w:val="clear" w:color="auto" w:fill="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shd w:val="clear" w:color="auto" w:fill="BEBEBE"/>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11</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其他各级资本要求（</w:t>
            </w:r>
            <w:r>
              <w:rPr>
                <w:rFonts w:ascii="仿宋_GB2312" w:hAnsi="仿宋" w:eastAsia="仿宋_GB2312" w:cs="Arial Unicode MS"/>
                <w:color w:val="000000" w:themeColor="text1"/>
                <w:sz w:val="28"/>
                <w:szCs w:val="28"/>
                <w:lang w:eastAsia="zh-CN"/>
                <w14:textFill>
                  <w14:solidFill>
                    <w14:schemeClr w14:val="tx1"/>
                  </w14:solidFill>
                </w14:textFill>
              </w:rPr>
              <w:t>%）（8+9+10）</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12</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13</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调整后表内外资产余额</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235765228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14</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1</w:t>
            </w:r>
            <w:r>
              <w:rPr>
                <w:rFonts w:ascii="仿宋_GB2312" w:hAnsi="仿宋" w:eastAsia="仿宋_GB2312" w:cs="Arial Unicode MS"/>
                <w:color w:val="000000" w:themeColor="text1"/>
                <w:sz w:val="28"/>
                <w:szCs w:val="28"/>
                <w:lang w:eastAsia="zh-CN"/>
                <w14:textFill>
                  <w14:solidFill>
                    <w14:schemeClr w14:val="tx1"/>
                  </w14:solidFill>
                </w14:textFill>
              </w:rPr>
              <w:t>4</w:t>
            </w:r>
            <w:r>
              <w:rPr>
                <w:rFonts w:hint="eastAsia" w:ascii="仿宋_GB2312" w:hAnsi="仿宋" w:eastAsia="仿宋_GB2312" w:cs="Arial Unicode MS"/>
                <w:color w:val="000000" w:themeColor="text1"/>
                <w:sz w:val="28"/>
                <w:szCs w:val="28"/>
                <w:lang w:eastAsia="zh-CN"/>
                <w14:textFill>
                  <w14:solidFill>
                    <w14:schemeClr w14:val="tx1"/>
                  </w14:solidFill>
                </w14:textFill>
              </w:rPr>
              <w:t>a</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杠杆率a</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15</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合格优质流动性资产</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29006207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16</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现金净流出</w:t>
            </w:r>
            <w:r>
              <w:rPr>
                <w:rFonts w:hint="eastAsia" w:ascii="仿宋_GB2312" w:hAnsi="仿宋" w:eastAsia="仿宋_GB2312" w:cs="Arial Unicode MS"/>
                <w:color w:val="000000" w:themeColor="text1"/>
                <w:sz w:val="28"/>
                <w:szCs w:val="28"/>
                <w:lang w:eastAsia="zh-CN"/>
                <w14:textFill>
                  <w14:solidFill>
                    <w14:schemeClr w14:val="tx1"/>
                  </w14:solidFill>
                </w14:textFill>
              </w:rPr>
              <w:t>量</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22697419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17</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流动性覆盖率（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127.80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813" w:type="dxa"/>
            <w:gridSpan w:val="2"/>
            <w:shd w:val="clear" w:color="000000" w:fill="D9D9D9"/>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18</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可用稳定资金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147987198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19</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所需</w:t>
            </w:r>
            <w:r>
              <w:rPr>
                <w:rFonts w:hint="eastAsia" w:ascii="仿宋_GB2312" w:hAnsi="仿宋" w:eastAsia="仿宋_GB2312" w:cs="Arial Unicode MS"/>
                <w:color w:val="000000" w:themeColor="text1"/>
                <w:sz w:val="28"/>
                <w:szCs w:val="28"/>
                <w14:textFill>
                  <w14:solidFill>
                    <w14:schemeClr w14:val="tx1"/>
                  </w14:solidFill>
                </w14:textFill>
              </w:rPr>
              <w:t>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95370262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20</w:t>
            </w:r>
          </w:p>
        </w:tc>
        <w:tc>
          <w:tcPr>
            <w:tcW w:w="4996" w:type="dxa"/>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净稳定资金比例（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813" w:type="dxa"/>
            <w:gridSpan w:val="2"/>
            <w:shd w:val="clear" w:color="auto" w:fill="D8D8D8"/>
            <w:vAlign w:val="top"/>
          </w:tcPr>
          <w:p>
            <w:pPr>
              <w:rPr>
                <w:rFonts w:ascii="仿宋_GB2312" w:hAnsi="仿宋" w:eastAsia="仿宋_GB2312" w:cs="Arial Unicode MS"/>
                <w:color w:val="000000" w:themeColor="text1"/>
                <w:sz w:val="32"/>
                <w:szCs w:val="32"/>
                <w:lang w:eastAsia="zh-CN"/>
                <w14:textFill>
                  <w14:solidFill>
                    <w14:schemeClr w14:val="tx1"/>
                  </w14:solidFill>
                </w14:textFill>
              </w:rPr>
            </w:pPr>
          </w:p>
        </w:tc>
        <w:tc>
          <w:tcPr>
            <w:tcW w:w="2551" w:type="dxa"/>
            <w:shd w:val="clear" w:color="auto" w:fill="D8D8D8"/>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21</w:t>
            </w:r>
          </w:p>
        </w:tc>
        <w:tc>
          <w:tcPr>
            <w:tcW w:w="4996" w:type="dxa"/>
            <w:shd w:val="clear" w:color="auto" w:fill="FFFFFF"/>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2551" w:type="dxa"/>
            <w:shd w:val="clear" w:color="auto" w:fill="FFFFFF"/>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93.61</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附表二：OV1风险加权资产概况</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Layout w:type="fixed"/>
        <w:tblCellMar>
          <w:top w:w="0" w:type="dxa"/>
          <w:left w:w="108" w:type="dxa"/>
          <w:bottom w:w="0" w:type="dxa"/>
          <w:right w:w="108" w:type="dxa"/>
        </w:tblCellMar>
      </w:tblPr>
      <w:tblGrid>
        <w:gridCol w:w="579"/>
        <w:gridCol w:w="4050"/>
        <w:gridCol w:w="1986"/>
        <w:gridCol w:w="1861"/>
      </w:tblGrid>
      <w:tr>
        <w:tblPrEx>
          <w:tblLayout w:type="fixed"/>
          <w:tblCellMar>
            <w:top w:w="0" w:type="dxa"/>
            <w:left w:w="108" w:type="dxa"/>
            <w:bottom w:w="0" w:type="dxa"/>
            <w:right w:w="108" w:type="dxa"/>
          </w:tblCellMar>
        </w:tblPrEx>
        <w:trPr>
          <w:trHeight w:val="330" w:hRule="atLeast"/>
        </w:trPr>
        <w:tc>
          <w:tcPr>
            <w:tcW w:w="4629" w:type="dxa"/>
            <w:gridSpan w:val="2"/>
            <w:vMerge w:val="restart"/>
            <w:tcBorders>
              <w:top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tc>
        <w:tc>
          <w:tcPr>
            <w:tcW w:w="1986" w:type="dxa"/>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a</w:t>
            </w:r>
          </w:p>
        </w:tc>
        <w:tc>
          <w:tcPr>
            <w:tcW w:w="1861" w:type="dxa"/>
            <w:tcBorders>
              <w:top w:val="single" w:color="auto" w:sz="4" w:space="0"/>
              <w:left w:val="nil"/>
              <w:bottom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c</w:t>
            </w:r>
          </w:p>
        </w:tc>
      </w:tr>
      <w:tr>
        <w:tblPrEx>
          <w:tblLayout w:type="fixed"/>
          <w:tblCellMar>
            <w:top w:w="0" w:type="dxa"/>
            <w:left w:w="108" w:type="dxa"/>
            <w:bottom w:w="0" w:type="dxa"/>
            <w:right w:w="108" w:type="dxa"/>
          </w:tblCellMar>
        </w:tblPrEx>
        <w:trPr>
          <w:trHeight w:val="330" w:hRule="atLeast"/>
        </w:trPr>
        <w:tc>
          <w:tcPr>
            <w:tcW w:w="4629" w:type="dxa"/>
            <w:gridSpan w:val="2"/>
            <w:vMerge w:val="continue"/>
            <w:tcBorders>
              <w:right w:val="single" w:color="auto" w:sz="4" w:space="0"/>
            </w:tcBorders>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1986" w:type="dxa"/>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风险加权资产</w:t>
            </w:r>
          </w:p>
        </w:tc>
        <w:tc>
          <w:tcPr>
            <w:tcW w:w="1861" w:type="dxa"/>
            <w:tcBorders>
              <w:top w:val="nil"/>
              <w:left w:val="nil"/>
              <w:bottom w:val="single" w:color="auto"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最低资本要求</w:t>
            </w:r>
          </w:p>
        </w:tc>
      </w:tr>
      <w:tr>
        <w:tblPrEx>
          <w:tblLayout w:type="fixed"/>
          <w:tblCellMar>
            <w:top w:w="0" w:type="dxa"/>
            <w:left w:w="108" w:type="dxa"/>
            <w:bottom w:w="0" w:type="dxa"/>
            <w:right w:w="108" w:type="dxa"/>
          </w:tblCellMar>
        </w:tblPrEx>
        <w:trPr>
          <w:trHeight w:val="330" w:hRule="atLeast"/>
        </w:trPr>
        <w:tc>
          <w:tcPr>
            <w:tcW w:w="4629" w:type="dxa"/>
            <w:gridSpan w:val="2"/>
            <w:vMerge w:val="continue"/>
            <w:tcBorders>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1986"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w:t>
            </w:r>
          </w:p>
        </w:tc>
        <w:tc>
          <w:tcPr>
            <w:tcW w:w="1861" w:type="dxa"/>
            <w:tcBorders>
              <w:top w:val="nil"/>
              <w:left w:val="nil"/>
              <w:bottom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w:t>
            </w:r>
          </w:p>
        </w:tc>
      </w:tr>
      <w:tr>
        <w:tblPrEx>
          <w:tblLayout w:type="fixed"/>
          <w:tblCellMar>
            <w:top w:w="0" w:type="dxa"/>
            <w:left w:w="108" w:type="dxa"/>
            <w:bottom w:w="0" w:type="dxa"/>
            <w:right w:w="108" w:type="dxa"/>
          </w:tblCellMar>
        </w:tblPrEx>
        <w:trPr>
          <w:trHeight w:val="330" w:hRule="atLeast"/>
        </w:trPr>
        <w:tc>
          <w:tcPr>
            <w:tcW w:w="579" w:type="dxa"/>
            <w:tcBorders>
              <w:top w:val="nil"/>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4050"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信用风险</w:t>
            </w:r>
          </w:p>
        </w:tc>
        <w:tc>
          <w:tcPr>
            <w:tcW w:w="198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13714733</w:t>
            </w:r>
          </w:p>
        </w:tc>
        <w:tc>
          <w:tcPr>
            <w:tcW w:w="1861" w:type="dxa"/>
            <w:tcBorders>
              <w:top w:val="nil"/>
              <w:left w:val="nil"/>
              <w:bottom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1097179</w:t>
            </w:r>
          </w:p>
        </w:tc>
      </w:tr>
      <w:tr>
        <w:tblPrEx>
          <w:tblLayout w:type="fixed"/>
          <w:tblCellMar>
            <w:top w:w="0" w:type="dxa"/>
            <w:left w:w="108" w:type="dxa"/>
            <w:bottom w:w="0" w:type="dxa"/>
            <w:right w:w="108" w:type="dxa"/>
          </w:tblCellMar>
        </w:tblPrEx>
        <w:trPr>
          <w:trHeight w:val="330" w:hRule="atLeast"/>
        </w:trPr>
        <w:tc>
          <w:tcPr>
            <w:tcW w:w="579" w:type="dxa"/>
            <w:tcBorders>
              <w:top w:val="nil"/>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2</w:t>
            </w:r>
          </w:p>
        </w:tc>
        <w:tc>
          <w:tcPr>
            <w:tcW w:w="4050"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市场风险</w:t>
            </w:r>
          </w:p>
        </w:tc>
        <w:tc>
          <w:tcPr>
            <w:tcW w:w="198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721753</w:t>
            </w:r>
          </w:p>
        </w:tc>
        <w:tc>
          <w:tcPr>
            <w:tcW w:w="1861" w:type="dxa"/>
            <w:tcBorders>
              <w:top w:val="nil"/>
              <w:left w:val="nil"/>
              <w:bottom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57740</w:t>
            </w:r>
          </w:p>
        </w:tc>
      </w:tr>
      <w:tr>
        <w:tblPrEx>
          <w:tblLayout w:type="fixed"/>
          <w:tblCellMar>
            <w:top w:w="0" w:type="dxa"/>
            <w:left w:w="108" w:type="dxa"/>
            <w:bottom w:w="0" w:type="dxa"/>
            <w:right w:w="108" w:type="dxa"/>
          </w:tblCellMar>
        </w:tblPrEx>
        <w:trPr>
          <w:trHeight w:val="330" w:hRule="atLeast"/>
        </w:trPr>
        <w:tc>
          <w:tcPr>
            <w:tcW w:w="579" w:type="dxa"/>
            <w:tcBorders>
              <w:top w:val="nil"/>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3</w:t>
            </w:r>
          </w:p>
        </w:tc>
        <w:tc>
          <w:tcPr>
            <w:tcW w:w="4050"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操作风险</w:t>
            </w:r>
          </w:p>
        </w:tc>
        <w:tc>
          <w:tcPr>
            <w:tcW w:w="198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742257</w:t>
            </w:r>
          </w:p>
        </w:tc>
        <w:tc>
          <w:tcPr>
            <w:tcW w:w="1861" w:type="dxa"/>
            <w:tcBorders>
              <w:top w:val="nil"/>
              <w:left w:val="nil"/>
              <w:bottom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59381</w:t>
            </w:r>
          </w:p>
        </w:tc>
      </w:tr>
      <w:tr>
        <w:tblPrEx>
          <w:tblLayout w:type="fixed"/>
          <w:tblCellMar>
            <w:top w:w="0" w:type="dxa"/>
            <w:left w:w="108" w:type="dxa"/>
            <w:bottom w:w="0" w:type="dxa"/>
            <w:right w:w="108" w:type="dxa"/>
          </w:tblCellMar>
        </w:tblPrEx>
        <w:trPr>
          <w:trHeight w:val="330" w:hRule="atLeast"/>
        </w:trPr>
        <w:tc>
          <w:tcPr>
            <w:tcW w:w="579" w:type="dxa"/>
            <w:tcBorders>
              <w:top w:val="nil"/>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4</w:t>
            </w:r>
          </w:p>
        </w:tc>
        <w:tc>
          <w:tcPr>
            <w:tcW w:w="4050"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交易账簿和银行账簿间转换的资本要求</w:t>
            </w:r>
          </w:p>
        </w:tc>
        <w:tc>
          <w:tcPr>
            <w:tcW w:w="198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861" w:type="dxa"/>
            <w:tcBorders>
              <w:top w:val="nil"/>
              <w:left w:val="nil"/>
              <w:bottom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579" w:type="dxa"/>
            <w:tcBorders>
              <w:top w:val="nil"/>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4050"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8"/>
                <w:szCs w:val="28"/>
                <w:lang w:eastAsia="zh-CN"/>
                <w14:textFill>
                  <w14:solidFill>
                    <w14:schemeClr w14:val="tx1"/>
                  </w14:solidFill>
                </w14:textFill>
              </w:rPr>
            </w:pPr>
            <w:r>
              <w:rPr>
                <w:rFonts w:hint="eastAsia" w:ascii="仿宋_GB2312" w:hAnsi="仿宋" w:eastAsia="仿宋_GB2312" w:cs="Arial Unicode MS"/>
                <w:b/>
                <w:bCs/>
                <w:color w:val="000000" w:themeColor="text1"/>
                <w:sz w:val="28"/>
                <w:szCs w:val="28"/>
                <w:lang w:eastAsia="zh-CN"/>
                <w14:textFill>
                  <w14:solidFill>
                    <w14:schemeClr w14:val="tx1"/>
                  </w14:solidFill>
                </w14:textFill>
              </w:rPr>
              <w:t>合计</w:t>
            </w:r>
          </w:p>
        </w:tc>
        <w:tc>
          <w:tcPr>
            <w:tcW w:w="198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15178743</w:t>
            </w:r>
          </w:p>
        </w:tc>
        <w:tc>
          <w:tcPr>
            <w:tcW w:w="1861" w:type="dxa"/>
            <w:tcBorders>
              <w:top w:val="nil"/>
              <w:left w:val="nil"/>
              <w:bottom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1214299</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44" w:type="dxa"/>
            <w:gridSpan w:val="2"/>
            <w:tcBorders>
              <w:top w:val="single" w:color="auto" w:sz="4" w:space="0"/>
              <w:left w:val="nil"/>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8"/>
                <w:szCs w:val="28"/>
                <w:lang w:eastAsia="zh-CN"/>
                <w14:textFill>
                  <w14:solidFill>
                    <w14:schemeClr w14:val="tx1"/>
                  </w14:solidFill>
                </w14:textFill>
              </w:rPr>
            </w:pPr>
          </w:p>
        </w:tc>
        <w:tc>
          <w:tcPr>
            <w:tcW w:w="1932" w:type="dxa"/>
            <w:tcBorders>
              <w:top w:val="single" w:color="auto" w:sz="4" w:space="0"/>
              <w:left w:val="nil"/>
              <w:bottom w:val="single" w:color="auto" w:sz="4" w:space="0"/>
              <w:right w:val="nil"/>
            </w:tcBorders>
            <w:vAlign w:val="bottom"/>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并表总资产</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211759347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并表调整项</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87360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客户资产调整项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衍生工具调整项</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43628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证券融资交易调整项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表外项目调整项</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24962035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资产证券化交易调整项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未结算金融资产调整项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现金池调整项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存款准备金调整项（如有）</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8"/>
                <w:szCs w:val="28"/>
                <w:lang w:eastAsia="zh-CN"/>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审慎估值和减值准备调整项</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-1087142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s="Segoe UI"/>
                <w:color w:val="000000" w:themeColor="text1"/>
                <w:kern w:val="2"/>
                <w:sz w:val="28"/>
                <w:szCs w:val="28"/>
                <w:lang w:eastAsia="zh-CN"/>
                <w14:textFill>
                  <w14:solidFill>
                    <w14:schemeClr w14:val="tx1"/>
                  </w14:solidFill>
                </w14:textFill>
              </w:rPr>
              <w:t>其他调整项</w:t>
            </w:r>
          </w:p>
        </w:tc>
        <w:tc>
          <w:tcPr>
            <w:tcW w:w="1932" w:type="dxa"/>
            <w:tcBorders>
              <w:top w:val="nil"/>
              <w:left w:val="nil"/>
              <w:bottom w:val="single" w:color="auto" w:sz="4" w:space="0"/>
              <w:right w:val="nil"/>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8"/>
                <w:szCs w:val="28"/>
                <w14:textFill>
                  <w14:solidFill>
                    <w14:schemeClr w14:val="tx1"/>
                  </w14:solidFill>
                </w14:textFill>
              </w:rPr>
            </w:pPr>
            <w:r>
              <w:rPr>
                <w:rFonts w:ascii="仿宋_GB2312" w:hAnsi="宋体" w:eastAsia="仿宋_GB2312" w:cs="宋体"/>
                <w:b/>
                <w:bCs/>
                <w:color w:val="000000" w:themeColor="text1"/>
                <w:sz w:val="28"/>
                <w:szCs w:val="28"/>
                <w:lang w:eastAsia="zh-CN"/>
                <w14:textFill>
                  <w14:solidFill>
                    <w14:schemeClr w14:val="tx1"/>
                  </w14:solidFill>
                </w14:textFill>
              </w:rPr>
              <w:t>13</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b/>
                <w:bCs/>
                <w:color w:val="000000" w:themeColor="text1"/>
                <w:sz w:val="28"/>
                <w:szCs w:val="28"/>
                <w:lang w:eastAsia="zh-CN"/>
                <w14:textFill>
                  <w14:solidFill>
                    <w14:schemeClr w14:val="tx1"/>
                  </w14:solidFill>
                </w14:textFill>
              </w:rPr>
            </w:pPr>
            <w:r>
              <w:rPr>
                <w:rFonts w:hint="eastAsia" w:ascii="仿宋_GB2312" w:hAnsi="宋体" w:eastAsia="仿宋_GB2312" w:cs="宋体"/>
                <w:b/>
                <w:bCs/>
                <w:color w:val="000000" w:themeColor="text1"/>
                <w:sz w:val="28"/>
                <w:szCs w:val="28"/>
                <w:lang w:eastAsia="zh-CN"/>
                <w14:textFill>
                  <w14:solidFill>
                    <w14:schemeClr w14:val="tx1"/>
                  </w14:solidFill>
                </w14:textFill>
              </w:rPr>
              <w:t>调整后表内外资产余额</w:t>
            </w:r>
          </w:p>
        </w:tc>
        <w:tc>
          <w:tcPr>
            <w:tcW w:w="1932" w:type="dxa"/>
            <w:tcBorders>
              <w:top w:val="nil"/>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235765228</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09"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51"/>
        <w:gridCol w:w="5670"/>
        <w:gridCol w:w="178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21" w:type="dxa"/>
            <w:gridSpan w:val="2"/>
            <w:vMerge w:val="restart"/>
            <w:tcBorders>
              <w:top w:val="single" w:color="auto" w:sz="4" w:space="0"/>
              <w:left w:val="nil"/>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　</w:t>
            </w:r>
          </w:p>
        </w:tc>
        <w:tc>
          <w:tcPr>
            <w:tcW w:w="1788" w:type="dxa"/>
            <w:tcBorders>
              <w:top w:val="single" w:color="auto" w:sz="4" w:space="0"/>
              <w:left w:val="nil"/>
              <w:bottom w:val="single" w:color="auto" w:sz="4" w:space="0"/>
              <w:right w:val="nil"/>
            </w:tcBorders>
            <w:vAlign w:val="bottom"/>
          </w:tcPr>
          <w:p>
            <w:pPr>
              <w:snapToGrid w:val="0"/>
              <w:spacing w:line="480" w:lineRule="exact"/>
              <w:jc w:val="center"/>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21" w:type="dxa"/>
            <w:gridSpan w:val="2"/>
            <w:vMerge w:val="continue"/>
            <w:tcBorders>
              <w:top w:val="single" w:color="auto" w:sz="4" w:space="0"/>
              <w:left w:val="nil"/>
              <w:bottom w:val="single" w:color="auto" w:sz="4" w:space="0"/>
              <w:right w:val="single" w:color="auto" w:sz="4" w:space="0"/>
            </w:tcBorders>
            <w:vAlign w:val="center"/>
          </w:tcPr>
          <w:p>
            <w:pPr>
              <w:spacing w:line="480" w:lineRule="exact"/>
              <w:rPr>
                <w:rFonts w:ascii="仿宋_GB2312" w:eastAsia="仿宋_GB2312" w:cs="宋体"/>
                <w:color w:val="000000" w:themeColor="text1"/>
                <w:sz w:val="28"/>
                <w:szCs w:val="28"/>
                <w:lang w:eastAsia="zh-CN"/>
                <w14:textFill>
                  <w14:solidFill>
                    <w14:schemeClr w14:val="tx1"/>
                  </w14:solidFill>
                </w14:textFill>
              </w:rPr>
            </w:pPr>
          </w:p>
        </w:tc>
        <w:tc>
          <w:tcPr>
            <w:tcW w:w="1788" w:type="dxa"/>
            <w:tcBorders>
              <w:top w:val="nil"/>
              <w:left w:val="nil"/>
              <w:bottom w:val="single" w:color="auto" w:sz="4" w:space="0"/>
              <w:right w:val="nil"/>
            </w:tcBorders>
            <w:vAlign w:val="bottom"/>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8309" w:type="dxa"/>
            <w:gridSpan w:val="3"/>
            <w:tcBorders>
              <w:top w:val="single" w:color="auto" w:sz="4" w:space="0"/>
              <w:left w:val="nil"/>
              <w:bottom w:val="single" w:color="auto" w:sz="4" w:space="0"/>
              <w:right w:val="nil"/>
            </w:tcBorders>
            <w:shd w:val="clear" w:color="auto" w:fill="A6A6A6"/>
            <w:vAlign w:val="bottom"/>
          </w:tcPr>
          <w:p>
            <w:pPr>
              <w:snapToGrid w:val="0"/>
              <w:spacing w:line="480" w:lineRule="exact"/>
              <w:rPr>
                <w:rFonts w:ascii="仿宋_GB2312"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kern w:val="2"/>
                <w:sz w:val="28"/>
                <w:szCs w:val="28"/>
                <w14:textFill>
                  <w14:solidFill>
                    <w14:schemeClr w14:val="tx1"/>
                  </w14:solidFill>
                </w14:textFill>
              </w:rPr>
              <w:t>表内资产余额</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表内资产（除衍生工具和证券融资交易外）</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216206351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2</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减：减值准备</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-4876639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3</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减：一级资本扣除项</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-837264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4</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b/>
                <w:bCs/>
                <w:color w:val="000000" w:themeColor="text1"/>
                <w:kern w:val="2"/>
                <w:sz w:val="28"/>
                <w:szCs w:val="28"/>
                <w:lang w:eastAsia="zh-CN"/>
                <w14:textFill>
                  <w14:solidFill>
                    <w14:schemeClr w14:val="tx1"/>
                  </w14:solidFill>
                </w14:textFill>
              </w:rPr>
              <w:t>调整后的表内资产余额（衍生工具和证券融资交易除外）</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210492448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6521" w:type="dxa"/>
            <w:gridSpan w:val="2"/>
            <w:tcBorders>
              <w:top w:val="single" w:color="auto" w:sz="4" w:space="0"/>
              <w:left w:val="nil"/>
              <w:bottom w:val="single" w:color="auto" w:sz="4" w:space="0"/>
              <w:right w:val="nil"/>
            </w:tcBorders>
            <w:shd w:val="clear" w:color="auto" w:fill="A6A6A6"/>
            <w:vAlign w:val="bottom"/>
          </w:tcPr>
          <w:p>
            <w:pPr>
              <w:rPr>
                <w:rFonts w:ascii="仿宋_GB2312" w:eastAsia="仿宋_GB2312" w:cs="宋体"/>
                <w:b/>
                <w:color w:val="000000" w:themeColor="text1"/>
                <w:sz w:val="32"/>
                <w:szCs w:val="32"/>
                <w14:textFill>
                  <w14:solidFill>
                    <w14:schemeClr w14:val="tx1"/>
                  </w14:solidFill>
                </w14:textFill>
              </w:rPr>
            </w:pPr>
          </w:p>
        </w:tc>
        <w:tc>
          <w:tcPr>
            <w:tcW w:w="1788" w:type="dxa"/>
            <w:tcBorders>
              <w:top w:val="single" w:color="auto" w:sz="4" w:space="0"/>
              <w:left w:val="nil"/>
              <w:bottom w:val="single" w:color="auto" w:sz="4" w:space="0"/>
              <w:right w:val="nil"/>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5</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各类衍生</w:t>
            </w:r>
            <w:r>
              <w:rPr>
                <w:rFonts w:hint="eastAsia" w:ascii="仿宋_GB2312" w:hAnsi="宋体" w:eastAsia="仿宋_GB2312" w:cs="宋体"/>
                <w:bCs/>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color w:val="000000" w:themeColor="text1"/>
                <w:kern w:val="2"/>
                <w:sz w:val="28"/>
                <w:szCs w:val="28"/>
                <w:lang w:eastAsia="zh-CN"/>
                <w14:textFill>
                  <w14:solidFill>
                    <w14:schemeClr w14:val="tx1"/>
                  </w14:solidFill>
                </w14:textFill>
              </w:rPr>
              <w:t>的重置成本（扣除合格保证金，考虑双边净额结算协议的影响）</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79840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6</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各类衍生</w:t>
            </w:r>
            <w:r>
              <w:rPr>
                <w:rFonts w:hint="eastAsia" w:ascii="仿宋_GB2312" w:hAnsi="宋体" w:eastAsia="仿宋_GB2312" w:cs="宋体"/>
                <w:bCs/>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color w:val="000000" w:themeColor="text1"/>
                <w:kern w:val="2"/>
                <w:sz w:val="28"/>
                <w:szCs w:val="28"/>
                <w:lang w:eastAsia="zh-CN"/>
                <w14:textFill>
                  <w14:solidFill>
                    <w14:schemeClr w14:val="tx1"/>
                  </w14:solidFill>
                </w14:textFill>
              </w:rPr>
              <w:t>的潜在风险暴露</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244837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851" w:type="dxa"/>
            <w:tcBorders>
              <w:top w:val="nil"/>
              <w:left w:val="nil"/>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7</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已从资产负债表中扣除的抵质押品总和</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8</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减：因提供合格保证金形成的应收资产</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9</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color w:val="000000" w:themeColor="text1"/>
                <w:kern w:val="2"/>
                <w:sz w:val="28"/>
                <w:szCs w:val="28"/>
                <w:lang w:eastAsia="zh-CN"/>
                <w14:textFill>
                  <w14:solidFill>
                    <w14:schemeClr w14:val="tx1"/>
                  </w14:solidFill>
                </w14:textFill>
              </w:rPr>
              <w:t>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10</w:t>
            </w:r>
          </w:p>
        </w:tc>
        <w:tc>
          <w:tcPr>
            <w:tcW w:w="5670"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color w:val="000000" w:themeColor="text1"/>
                <w:kern w:val="2"/>
                <w:sz w:val="28"/>
                <w:szCs w:val="28"/>
                <w:lang w:eastAsia="zh-CN"/>
                <w14:textFill>
                  <w14:solidFill>
                    <w14:schemeClr w14:val="tx1"/>
                  </w14:solidFill>
                </w14:textFill>
              </w:rPr>
              <w:t>的名义本金</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851" w:type="dxa"/>
            <w:tcBorders>
              <w:top w:val="nil"/>
              <w:left w:val="nil"/>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11</w:t>
            </w:r>
          </w:p>
        </w:tc>
        <w:tc>
          <w:tcPr>
            <w:tcW w:w="5670"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color w:val="000000" w:themeColor="text1"/>
                <w:kern w:val="2"/>
                <w:sz w:val="28"/>
                <w:szCs w:val="28"/>
                <w:lang w:eastAsia="zh-CN"/>
                <w14:textFill>
                  <w14:solidFill>
                    <w14:schemeClr w14:val="tx1"/>
                  </w14:solidFill>
                </w14:textFill>
              </w:rPr>
              <w:t>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2</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kern w:val="2"/>
                <w:sz w:val="28"/>
                <w:szCs w:val="28"/>
                <w:lang w:eastAsia="zh-CN"/>
                <w14:textFill>
                  <w14:solidFill>
                    <w14:schemeClr w14:val="tx1"/>
                  </w14:solidFill>
                </w14:textFill>
              </w:rPr>
              <w:t>衍生</w:t>
            </w:r>
            <w:r>
              <w:rPr>
                <w:rFonts w:hint="eastAsia" w:ascii="仿宋_GB2312" w:hAnsi="宋体" w:eastAsia="仿宋_GB2312" w:cs="宋体"/>
                <w:b/>
                <w:color w:val="000000" w:themeColor="text1"/>
                <w:kern w:val="2"/>
                <w:sz w:val="28"/>
                <w:szCs w:val="28"/>
                <w:lang w:eastAsia="zh-CN"/>
                <w14:textFill>
                  <w14:solidFill>
                    <w14:schemeClr w14:val="tx1"/>
                  </w14:solidFill>
                </w14:textFill>
              </w:rPr>
              <w:t>工具</w:t>
            </w:r>
            <w:r>
              <w:rPr>
                <w:rFonts w:hint="eastAsia" w:ascii="仿宋_GB2312" w:hAnsi="宋体" w:eastAsia="仿宋_GB2312" w:cs="宋体"/>
                <w:b/>
                <w:bCs/>
                <w:color w:val="000000" w:themeColor="text1"/>
                <w:kern w:val="2"/>
                <w:sz w:val="28"/>
                <w:szCs w:val="28"/>
                <w:lang w:eastAsia="zh-CN"/>
                <w14:textFill>
                  <w14:solidFill>
                    <w14:schemeClr w14:val="tx1"/>
                  </w14:solidFill>
                </w14:textFill>
              </w:rPr>
              <w:t>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324677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6521" w:type="dxa"/>
            <w:gridSpan w:val="2"/>
            <w:tcBorders>
              <w:top w:val="single" w:color="auto" w:sz="4" w:space="0"/>
              <w:left w:val="nil"/>
              <w:bottom w:val="single" w:color="auto" w:sz="4" w:space="0"/>
              <w:right w:val="nil"/>
            </w:tcBorders>
            <w:shd w:val="clear" w:color="auto" w:fill="A6A6A6"/>
            <w:vAlign w:val="bottom"/>
          </w:tcPr>
          <w:p>
            <w:pPr>
              <w:rPr>
                <w:rFonts w:ascii="仿宋_GB2312" w:eastAsia="仿宋_GB2312" w:cs="宋体"/>
                <w:b/>
                <w:color w:val="000000" w:themeColor="text1"/>
                <w:sz w:val="32"/>
                <w:szCs w:val="32"/>
                <w:lang w:eastAsia="zh-CN"/>
                <w14:textFill>
                  <w14:solidFill>
                    <w14:schemeClr w14:val="tx1"/>
                  </w14:solidFill>
                </w14:textFill>
              </w:rPr>
            </w:pPr>
          </w:p>
        </w:tc>
        <w:tc>
          <w:tcPr>
            <w:tcW w:w="1788" w:type="dxa"/>
            <w:tcBorders>
              <w:top w:val="single" w:color="auto" w:sz="4" w:space="0"/>
              <w:left w:val="nil"/>
              <w:bottom w:val="single" w:color="auto" w:sz="4" w:space="0"/>
              <w:right w:val="nil"/>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3</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证券融资交易的会计资产余额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4</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减：可以扣除的证券融资交易资产余额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5</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证券融资交易的交易对手信用风险暴露</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235947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6</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代理证券融资交易形成的证券融资交易资产余额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7</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b/>
                <w:bCs/>
                <w:color w:val="000000" w:themeColor="text1"/>
                <w:kern w:val="2"/>
                <w:sz w:val="28"/>
                <w:szCs w:val="28"/>
                <w:lang w:eastAsia="zh-CN"/>
                <w14:textFill>
                  <w14:solidFill>
                    <w14:schemeClr w14:val="tx1"/>
                  </w14:solidFill>
                </w14:textFill>
              </w:rPr>
              <w:t>证券融资交易资产余额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235947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6521" w:type="dxa"/>
            <w:gridSpan w:val="2"/>
            <w:tcBorders>
              <w:top w:val="single" w:color="auto" w:sz="4" w:space="0"/>
              <w:left w:val="nil"/>
              <w:bottom w:val="single" w:color="auto" w:sz="4" w:space="0"/>
              <w:right w:val="nil"/>
            </w:tcBorders>
            <w:shd w:val="clear" w:color="auto" w:fill="A6A6A6"/>
            <w:vAlign w:val="bottom"/>
          </w:tcPr>
          <w:p>
            <w:pPr>
              <w:rPr>
                <w:rFonts w:ascii="仿宋_GB2312" w:eastAsia="仿宋_GB2312" w:cs="宋体"/>
                <w:b/>
                <w:color w:val="000000" w:themeColor="text1"/>
                <w:sz w:val="32"/>
                <w:szCs w:val="32"/>
                <w:lang w:eastAsia="zh-CN"/>
                <w14:textFill>
                  <w14:solidFill>
                    <w14:schemeClr w14:val="tx1"/>
                  </w14:solidFill>
                </w14:textFill>
              </w:rPr>
            </w:pPr>
          </w:p>
        </w:tc>
        <w:tc>
          <w:tcPr>
            <w:tcW w:w="1788" w:type="dxa"/>
            <w:tcBorders>
              <w:top w:val="single" w:color="auto" w:sz="4" w:space="0"/>
              <w:left w:val="nil"/>
              <w:bottom w:val="single" w:color="auto" w:sz="4" w:space="0"/>
              <w:right w:val="nil"/>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1</w:t>
            </w:r>
            <w:r>
              <w:rPr>
                <w:rFonts w:ascii="仿宋_GB2312" w:hAnsi="宋体" w:eastAsia="仿宋_GB2312" w:cs="宋体"/>
                <w:color w:val="000000" w:themeColor="text1"/>
                <w:kern w:val="2"/>
                <w:sz w:val="28"/>
                <w:szCs w:val="28"/>
                <w:lang w:eastAsia="zh-CN"/>
                <w14:textFill>
                  <w14:solidFill>
                    <w14:schemeClr w14:val="tx1"/>
                  </w14:solidFill>
                </w14:textFill>
              </w:rPr>
              <w:t>8</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14:textFill>
                  <w14:solidFill>
                    <w14:schemeClr w14:val="tx1"/>
                  </w14:solidFill>
                </w14:textFill>
              </w:rPr>
              <w:t>表外项目余额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54071858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19</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减：因信用转换调整的表外项目余额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-29109823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20</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减：减值准备</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-249879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lang w:eastAsia="zh-CN"/>
                <w14:textFill>
                  <w14:solidFill>
                    <w14:schemeClr w14:val="tx1"/>
                  </w14:solidFill>
                </w14:textFill>
              </w:rPr>
              <w:t>21</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b/>
                <w:bCs/>
                <w:color w:val="000000" w:themeColor="text1"/>
                <w:kern w:val="2"/>
                <w:sz w:val="28"/>
                <w:szCs w:val="28"/>
                <w:lang w:eastAsia="zh-CN"/>
                <w14:textFill>
                  <w14:solidFill>
                    <w14:schemeClr w14:val="tx1"/>
                  </w14:solidFill>
                </w14:textFill>
              </w:rPr>
              <w:t>调整后的表外项目余额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24712156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6521" w:type="dxa"/>
            <w:gridSpan w:val="2"/>
            <w:tcBorders>
              <w:top w:val="single" w:color="auto" w:sz="4" w:space="0"/>
              <w:left w:val="nil"/>
              <w:bottom w:val="single" w:color="auto" w:sz="4" w:space="0"/>
              <w:right w:val="nil"/>
            </w:tcBorders>
            <w:shd w:val="clear" w:color="auto" w:fill="A6A6A6"/>
            <w:vAlign w:val="bottom"/>
          </w:tcPr>
          <w:p>
            <w:pPr>
              <w:rPr>
                <w:rFonts w:ascii="仿宋_GB2312" w:eastAsia="仿宋_GB2312" w:cs="宋体"/>
                <w:b/>
                <w:color w:val="000000" w:themeColor="text1"/>
                <w:sz w:val="32"/>
                <w:szCs w:val="32"/>
                <w:lang w:eastAsia="zh-CN"/>
                <w14:textFill>
                  <w14:solidFill>
                    <w14:schemeClr w14:val="tx1"/>
                  </w14:solidFill>
                </w14:textFill>
              </w:rPr>
            </w:pPr>
          </w:p>
        </w:tc>
        <w:tc>
          <w:tcPr>
            <w:tcW w:w="1788" w:type="dxa"/>
            <w:tcBorders>
              <w:top w:val="single" w:color="auto" w:sz="4" w:space="0"/>
              <w:left w:val="nil"/>
              <w:bottom w:val="single" w:color="auto" w:sz="4" w:space="0"/>
              <w:right w:val="nil"/>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2</w:t>
            </w:r>
            <w:r>
              <w:rPr>
                <w:rFonts w:ascii="仿宋_GB2312" w:hAnsi="宋体" w:eastAsia="仿宋_GB2312" w:cs="宋体"/>
                <w:color w:val="000000" w:themeColor="text1"/>
                <w:kern w:val="2"/>
                <w:sz w:val="28"/>
                <w:szCs w:val="28"/>
                <w:lang w:eastAsia="zh-CN"/>
                <w14:textFill>
                  <w14:solidFill>
                    <w14:schemeClr w14:val="tx1"/>
                  </w14:solidFill>
                </w14:textFill>
              </w:rPr>
              <w:t>2</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14:textFill>
                  <w14:solidFill>
                    <w14:schemeClr w14:val="tx1"/>
                  </w14:solidFill>
                </w14:textFill>
              </w:rPr>
              <w:t>一级资本</w:t>
            </w:r>
            <w:r>
              <w:rPr>
                <w:rFonts w:hint="eastAsia" w:ascii="仿宋_GB2312" w:hAnsi="宋体" w:eastAsia="仿宋_GB2312" w:cs="宋体"/>
                <w:color w:val="000000" w:themeColor="text1"/>
                <w:kern w:val="2"/>
                <w:sz w:val="28"/>
                <w:szCs w:val="28"/>
                <w:lang w:eastAsia="zh-CN"/>
                <w14:textFill>
                  <w14:solidFill>
                    <w14:schemeClr w14:val="tx1"/>
                  </w14:solidFill>
                </w14:textFill>
              </w:rPr>
              <w:t>净额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15340324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2</w:t>
            </w:r>
            <w:r>
              <w:rPr>
                <w:rFonts w:ascii="仿宋_GB2312" w:hAnsi="宋体" w:eastAsia="仿宋_GB2312" w:cs="宋体"/>
                <w:color w:val="000000" w:themeColor="text1"/>
                <w:kern w:val="2"/>
                <w:sz w:val="28"/>
                <w:szCs w:val="28"/>
                <w:lang w:eastAsia="zh-CN"/>
                <w14:textFill>
                  <w14:solidFill>
                    <w14:schemeClr w14:val="tx1"/>
                  </w14:solidFill>
                </w14:textFill>
              </w:rPr>
              <w:t>3</w:t>
            </w:r>
          </w:p>
        </w:tc>
        <w:tc>
          <w:tcPr>
            <w:tcW w:w="5670"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调整后表内外资产余额</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235765228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6521" w:type="dxa"/>
            <w:gridSpan w:val="2"/>
            <w:tcBorders>
              <w:top w:val="single" w:color="auto" w:sz="4" w:space="0"/>
              <w:left w:val="nil"/>
              <w:bottom w:val="single" w:color="auto" w:sz="4" w:space="0"/>
              <w:right w:val="nil"/>
            </w:tcBorders>
            <w:shd w:val="clear" w:color="auto" w:fill="A6A6A6"/>
            <w:vAlign w:val="bottom"/>
          </w:tcPr>
          <w:p>
            <w:pPr>
              <w:rPr>
                <w:rFonts w:ascii="仿宋_GB2312" w:eastAsia="仿宋_GB2312" w:cs="宋体"/>
                <w:b/>
                <w:color w:val="000000" w:themeColor="text1"/>
                <w:sz w:val="32"/>
                <w:szCs w:val="32"/>
                <w14:textFill>
                  <w14:solidFill>
                    <w14:schemeClr w14:val="tx1"/>
                  </w14:solidFill>
                </w14:textFill>
              </w:rPr>
            </w:pPr>
          </w:p>
        </w:tc>
        <w:tc>
          <w:tcPr>
            <w:tcW w:w="1788" w:type="dxa"/>
            <w:tcBorders>
              <w:top w:val="single" w:color="auto" w:sz="4" w:space="0"/>
              <w:left w:val="nil"/>
              <w:bottom w:val="single" w:color="auto" w:sz="4" w:space="0"/>
              <w:right w:val="nil"/>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nil"/>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2</w:t>
            </w:r>
            <w:r>
              <w:rPr>
                <w:rFonts w:ascii="仿宋_GB2312" w:hAnsi="宋体" w:eastAsia="仿宋_GB2312" w:cs="宋体"/>
                <w:color w:val="000000" w:themeColor="text1"/>
                <w:kern w:val="2"/>
                <w:sz w:val="28"/>
                <w:szCs w:val="28"/>
                <w:lang w:eastAsia="zh-CN"/>
                <w14:textFill>
                  <w14:solidFill>
                    <w14:schemeClr w14:val="tx1"/>
                  </w14:solidFill>
                </w14:textFill>
              </w:rPr>
              <w:t>4</w:t>
            </w:r>
          </w:p>
        </w:tc>
        <w:tc>
          <w:tcPr>
            <w:tcW w:w="5670"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杠杆率</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2</w:t>
            </w:r>
            <w:r>
              <w:rPr>
                <w:rFonts w:ascii="仿宋_GB2312" w:hAnsi="宋体" w:eastAsia="仿宋_GB2312" w:cs="宋体"/>
                <w:color w:val="000000" w:themeColor="text1"/>
                <w:kern w:val="2"/>
                <w:sz w:val="28"/>
                <w:szCs w:val="28"/>
                <w:lang w:eastAsia="zh-CN"/>
                <w14:textFill>
                  <w14:solidFill>
                    <w14:schemeClr w14:val="tx1"/>
                  </w14:solidFill>
                </w14:textFill>
              </w:rPr>
              <w:t>4</w:t>
            </w:r>
            <w:r>
              <w:rPr>
                <w:rFonts w:ascii="仿宋_GB2312" w:hAnsi="宋体" w:eastAsia="仿宋_GB2312" w:cs="宋体"/>
                <w:color w:val="000000" w:themeColor="text1"/>
                <w:kern w:val="2"/>
                <w:sz w:val="28"/>
                <w:szCs w:val="28"/>
                <w14:textFill>
                  <w14:solidFill>
                    <w14:schemeClr w14:val="tx1"/>
                  </w14:solidFill>
                </w14:textFill>
              </w:rPr>
              <w:t>a</w:t>
            </w:r>
          </w:p>
        </w:tc>
        <w:tc>
          <w:tcPr>
            <w:tcW w:w="5670"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杠杆率</w:t>
            </w:r>
            <w:r>
              <w:rPr>
                <w:rFonts w:ascii="仿宋_GB2312" w:hAnsi="宋体" w:eastAsia="仿宋_GB2312" w:cs="宋体"/>
                <w:color w:val="000000" w:themeColor="text1"/>
                <w:kern w:val="2"/>
                <w:sz w:val="28"/>
                <w:szCs w:val="28"/>
                <w:lang w:eastAsia="zh-CN"/>
                <w14:textFill>
                  <w14:solidFill>
                    <w14:schemeClr w14:val="tx1"/>
                  </w14:solidFill>
                </w14:textFill>
              </w:rPr>
              <w:t>a</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851" w:type="dxa"/>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kern w:val="2"/>
                <w:sz w:val="28"/>
                <w:szCs w:val="28"/>
                <w14:textFill>
                  <w14:solidFill>
                    <w14:schemeClr w14:val="tx1"/>
                  </w14:solidFill>
                </w14:textFill>
              </w:rPr>
              <w:t>2</w:t>
            </w:r>
            <w:r>
              <w:rPr>
                <w:rFonts w:ascii="仿宋_GB2312" w:hAnsi="宋体" w:eastAsia="仿宋_GB2312" w:cs="宋体"/>
                <w:color w:val="000000" w:themeColor="text1"/>
                <w:kern w:val="2"/>
                <w:sz w:val="28"/>
                <w:szCs w:val="28"/>
                <w:lang w:eastAsia="zh-CN"/>
                <w14:textFill>
                  <w14:solidFill>
                    <w14:schemeClr w14:val="tx1"/>
                  </w14:solidFill>
                </w14:textFill>
              </w:rPr>
              <w:t>5</w:t>
            </w:r>
          </w:p>
        </w:tc>
        <w:tc>
          <w:tcPr>
            <w:tcW w:w="5670" w:type="dxa"/>
            <w:tcBorders>
              <w:top w:val="single" w:color="auto" w:sz="4" w:space="0"/>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2"/>
                <w:sz w:val="28"/>
                <w:szCs w:val="28"/>
                <w:lang w:eastAsia="zh-CN"/>
                <w14:textFill>
                  <w14:solidFill>
                    <w14:schemeClr w14:val="tx1"/>
                  </w14:solidFill>
                </w14:textFill>
              </w:rPr>
              <w:t>最低杠杆率要求</w:t>
            </w:r>
          </w:p>
        </w:tc>
        <w:tc>
          <w:tcPr>
            <w:tcW w:w="1788" w:type="dxa"/>
            <w:tcBorders>
              <w:top w:val="single" w:color="auto" w:sz="4" w:space="0"/>
              <w:left w:val="nil"/>
              <w:bottom w:val="single" w:color="auto" w:sz="4" w:space="0"/>
              <w:right w:val="nil"/>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891043"/>
    <w:rsid w:val="0A621877"/>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7C4C8E"/>
    <w:rsid w:val="12BB14F1"/>
    <w:rsid w:val="12C16F92"/>
    <w:rsid w:val="12C47C85"/>
    <w:rsid w:val="12D1709D"/>
    <w:rsid w:val="130A7B3B"/>
    <w:rsid w:val="135A295C"/>
    <w:rsid w:val="13650466"/>
    <w:rsid w:val="13752225"/>
    <w:rsid w:val="137C5799"/>
    <w:rsid w:val="13D977A5"/>
    <w:rsid w:val="13F24F24"/>
    <w:rsid w:val="140E4545"/>
    <w:rsid w:val="1410151A"/>
    <w:rsid w:val="14517C55"/>
    <w:rsid w:val="14524747"/>
    <w:rsid w:val="14682706"/>
    <w:rsid w:val="14845411"/>
    <w:rsid w:val="148677DE"/>
    <w:rsid w:val="1523518B"/>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6669B4"/>
    <w:rsid w:val="526A6D29"/>
    <w:rsid w:val="52892CE2"/>
    <w:rsid w:val="528D3B09"/>
    <w:rsid w:val="52B053BD"/>
    <w:rsid w:val="52C2722A"/>
    <w:rsid w:val="53297AE5"/>
    <w:rsid w:val="539D4FAD"/>
    <w:rsid w:val="53B7531C"/>
    <w:rsid w:val="53DB028B"/>
    <w:rsid w:val="543447AA"/>
    <w:rsid w:val="551556FB"/>
    <w:rsid w:val="551A468B"/>
    <w:rsid w:val="55212294"/>
    <w:rsid w:val="5555589B"/>
    <w:rsid w:val="556805E1"/>
    <w:rsid w:val="556B24C0"/>
    <w:rsid w:val="556B3318"/>
    <w:rsid w:val="55A857A7"/>
    <w:rsid w:val="56590FAA"/>
    <w:rsid w:val="567E4BE9"/>
    <w:rsid w:val="56907E9A"/>
    <w:rsid w:val="56F3559A"/>
    <w:rsid w:val="56F80400"/>
    <w:rsid w:val="57336284"/>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B07C89"/>
    <w:rsid w:val="6CC23088"/>
    <w:rsid w:val="6CC71BEE"/>
    <w:rsid w:val="6CD42D63"/>
    <w:rsid w:val="6D0468D3"/>
    <w:rsid w:val="6D1E2632"/>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2024-04-28T06:41:36Z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