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12" w:afterLines="100"/>
        <w:jc w:val="center"/>
        <w:outlineLvl w:val="0"/>
        <w:rPr>
          <w:rFonts w:ascii="黑体" w:hAnsi="Calibri" w:eastAsia="黑体" w:cs="Times New Roman"/>
          <w:sz w:val="36"/>
          <w:szCs w:val="36"/>
        </w:rPr>
      </w:pPr>
      <w:r>
        <w:rPr>
          <w:rFonts w:hint="eastAsia" w:ascii="黑体" w:hAnsi="Calibri" w:eastAsia="黑体" w:cs="Times New Roman"/>
          <w:sz w:val="36"/>
          <w:szCs w:val="36"/>
        </w:rPr>
        <w:t>20</w:t>
      </w:r>
      <w:r>
        <w:rPr>
          <w:rFonts w:ascii="黑体" w:hAnsi="Calibri" w:eastAsia="黑体" w:cs="Times New Roman"/>
          <w:sz w:val="36"/>
          <w:szCs w:val="36"/>
        </w:rPr>
        <w:t>2</w:t>
      </w:r>
      <w:r>
        <w:rPr>
          <w:rFonts w:hint="eastAsia" w:ascii="黑体" w:hAnsi="Calibri" w:eastAsia="黑体" w:cs="Times New Roman"/>
          <w:sz w:val="36"/>
          <w:szCs w:val="36"/>
          <w:lang w:val="en-US" w:eastAsia="zh-CN"/>
        </w:rPr>
        <w:t>4</w:t>
      </w:r>
      <w:r>
        <w:rPr>
          <w:rFonts w:hint="eastAsia" w:ascii="黑体" w:hAnsi="Calibri" w:eastAsia="黑体" w:cs="Times New Roman"/>
          <w:sz w:val="36"/>
          <w:szCs w:val="36"/>
        </w:rPr>
        <w:t>年</w:t>
      </w:r>
      <w:r>
        <w:rPr>
          <w:rFonts w:hint="eastAsia" w:ascii="黑体" w:hAnsi="Calibri" w:eastAsia="黑体" w:cs="Times New Roman"/>
          <w:sz w:val="36"/>
          <w:szCs w:val="36"/>
          <w:lang w:eastAsia="zh-CN"/>
        </w:rPr>
        <w:t>二</w:t>
      </w:r>
      <w:r>
        <w:rPr>
          <w:rFonts w:hint="eastAsia" w:ascii="黑体" w:hAnsi="Calibri" w:eastAsia="黑体" w:cs="Times New Roman"/>
          <w:sz w:val="36"/>
          <w:szCs w:val="36"/>
        </w:rPr>
        <w:t>季度关联交易备案报告</w:t>
      </w:r>
    </w:p>
    <w:p>
      <w:pPr>
        <w:rPr>
          <w:rFonts w:ascii="仿宋" w:hAnsi="仿宋" w:eastAsia="仿宋" w:cs="Times New Roman"/>
          <w:sz w:val="30"/>
          <w:szCs w:val="30"/>
        </w:rPr>
      </w:pP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根据《银行保险机构关联交易管理办法》、中国证监会《公开发行证券的公司信息披露编报规则第26号-商业银行信息披露特别规定》，及本行《章程》《关联交易管理办法》的有关规定，现将本行202</w:t>
      </w:r>
      <w:r>
        <w:rPr>
          <w:rFonts w:hint="eastAsia" w:ascii="仿宋" w:hAnsi="仿宋" w:eastAsia="仿宋" w:cs="Times New Roman"/>
          <w:sz w:val="30"/>
          <w:szCs w:val="30"/>
          <w:lang w:val="en-US" w:eastAsia="zh-CN"/>
        </w:rPr>
        <w:t>4</w:t>
      </w:r>
      <w:r>
        <w:rPr>
          <w:rFonts w:hint="eastAsia" w:ascii="仿宋" w:hAnsi="仿宋" w:eastAsia="仿宋" w:cs="Times New Roman"/>
          <w:sz w:val="30"/>
          <w:szCs w:val="30"/>
        </w:rPr>
        <w:t>年</w:t>
      </w:r>
      <w:r>
        <w:rPr>
          <w:rFonts w:hint="eastAsia" w:ascii="仿宋" w:hAnsi="仿宋" w:eastAsia="仿宋" w:cs="Times New Roman"/>
          <w:sz w:val="30"/>
          <w:szCs w:val="30"/>
          <w:lang w:eastAsia="zh-CN"/>
        </w:rPr>
        <w:t>二</w:t>
      </w:r>
      <w:r>
        <w:rPr>
          <w:rFonts w:hint="eastAsia" w:ascii="仿宋" w:hAnsi="仿宋" w:eastAsia="仿宋" w:cs="Times New Roman"/>
          <w:sz w:val="30"/>
          <w:szCs w:val="30"/>
        </w:rPr>
        <w:t>季度关联交易备案情况报告如下：</w:t>
      </w:r>
    </w:p>
    <w:p>
      <w:pPr>
        <w:ind w:firstLine="600" w:firstLineChars="200"/>
        <w:rPr>
          <w:rFonts w:ascii="仿宋_GB2312" w:hAnsi="Times New Roman" w:eastAsia="仿宋_GB2312" w:cs="Times New Roman"/>
          <w:b/>
          <w:bCs/>
          <w:sz w:val="30"/>
          <w:szCs w:val="30"/>
        </w:rPr>
      </w:pPr>
      <w:r>
        <w:rPr>
          <w:rFonts w:hint="eastAsia" w:ascii="黑体" w:hAnsi="黑体" w:eastAsia="黑体" w:cs="KFWCQV+ËÎÌå"/>
          <w:sz w:val="30"/>
          <w:szCs w:val="30"/>
        </w:rPr>
        <w:t>一、备案关联方的基本情况</w:t>
      </w:r>
    </w:p>
    <w:p>
      <w:pPr>
        <w:ind w:firstLine="602" w:firstLineChars="200"/>
        <w:rPr>
          <w:rFonts w:ascii="仿宋" w:hAnsi="仿宋" w:eastAsia="仿宋" w:cs="Times New Roman"/>
          <w:b/>
          <w:bCs/>
          <w:sz w:val="30"/>
          <w:szCs w:val="30"/>
        </w:rPr>
      </w:pPr>
      <w:r>
        <w:rPr>
          <w:rFonts w:hint="eastAsia" w:ascii="仿宋" w:hAnsi="仿宋" w:eastAsia="仿宋" w:cs="Times New Roman"/>
          <w:b/>
          <w:bCs/>
          <w:sz w:val="30"/>
          <w:szCs w:val="30"/>
        </w:rPr>
        <w:t>1、亨通集团有限公司及其关联体</w:t>
      </w:r>
    </w:p>
    <w:p>
      <w:pPr>
        <w:numPr>
          <w:ilvl w:val="0"/>
          <w:numId w:val="1"/>
        </w:numPr>
        <w:ind w:firstLine="600" w:firstLineChars="200"/>
        <w:rPr>
          <w:rFonts w:ascii="仿宋" w:hAnsi="仿宋" w:eastAsia="仿宋" w:cs="Times New Roman"/>
          <w:sz w:val="30"/>
          <w:szCs w:val="30"/>
        </w:rPr>
      </w:pPr>
      <w:r>
        <w:rPr>
          <w:rFonts w:hint="eastAsia" w:ascii="仿宋" w:hAnsi="仿宋" w:eastAsia="仿宋" w:cs="Times New Roman"/>
          <w:sz w:val="30"/>
          <w:szCs w:val="30"/>
        </w:rPr>
        <w:t>公司基本情况</w:t>
      </w:r>
    </w:p>
    <w:p>
      <w:pPr>
        <w:pStyle w:val="13"/>
        <w:ind w:firstLine="600" w:firstLineChars="200"/>
        <w:jc w:val="both"/>
        <w:rPr>
          <w:rFonts w:ascii="仿宋_GB2312" w:hAnsi="Times New Roman" w:eastAsia="仿宋_GB2312" w:cs="Times New Roman"/>
          <w:kern w:val="2"/>
          <w:sz w:val="30"/>
          <w:szCs w:val="30"/>
        </w:rPr>
      </w:pPr>
      <w:r>
        <w:rPr>
          <w:rFonts w:hint="eastAsia" w:ascii="仿宋" w:hAnsi="仿宋" w:eastAsia="仿宋" w:cs="Times New Roman"/>
          <w:sz w:val="30"/>
          <w:szCs w:val="30"/>
        </w:rPr>
        <w:t>成员1：</w:t>
      </w:r>
      <w:r>
        <w:rPr>
          <w:rFonts w:hint="eastAsia" w:ascii="仿宋_GB2312" w:hAnsi="Times New Roman" w:eastAsia="仿宋_GB2312" w:cs="Times New Roman"/>
          <w:kern w:val="2"/>
          <w:sz w:val="30"/>
          <w:szCs w:val="30"/>
        </w:rPr>
        <w:t>亨通集团有限公司，成立于1992年11月20日，公司前身为吴江市光电通信线缆总厂，办公地址在苏州市吴江区七都镇心田湾，法人代表崔根良。注册资本</w:t>
      </w:r>
      <w:r>
        <w:rPr>
          <w:rFonts w:hint="eastAsia" w:ascii="仿宋_GB2312" w:hAnsi="Times New Roman" w:eastAsia="仿宋_GB2312" w:cs="Times New Roman"/>
          <w:kern w:val="2"/>
          <w:sz w:val="30"/>
          <w:szCs w:val="30"/>
          <w:lang w:val="en-US" w:eastAsia="zh-CN"/>
        </w:rPr>
        <w:t>50</w:t>
      </w:r>
      <w:r>
        <w:rPr>
          <w:rFonts w:hint="eastAsia" w:ascii="仿宋_GB2312" w:hAnsi="Times New Roman" w:eastAsia="仿宋_GB2312" w:cs="Times New Roman"/>
          <w:kern w:val="2"/>
          <w:sz w:val="30"/>
          <w:szCs w:val="30"/>
        </w:rPr>
        <w:t>0</w:t>
      </w:r>
      <w:r>
        <w:rPr>
          <w:rFonts w:ascii="仿宋_GB2312" w:hAnsi="Times New Roman" w:eastAsia="仿宋_GB2312" w:cs="Times New Roman"/>
          <w:kern w:val="2"/>
          <w:sz w:val="30"/>
          <w:szCs w:val="30"/>
        </w:rPr>
        <w:t>,</w:t>
      </w:r>
      <w:r>
        <w:rPr>
          <w:rFonts w:hint="eastAsia" w:ascii="仿宋_GB2312" w:hAnsi="Times New Roman" w:eastAsia="仿宋_GB2312" w:cs="Times New Roman"/>
          <w:kern w:val="2"/>
          <w:sz w:val="30"/>
          <w:szCs w:val="30"/>
        </w:rPr>
        <w:t>000万元，其中崔根良出资135</w:t>
      </w:r>
      <w:r>
        <w:rPr>
          <w:rFonts w:ascii="仿宋_GB2312" w:hAnsi="Times New Roman" w:eastAsia="仿宋_GB2312" w:cs="Times New Roman"/>
          <w:kern w:val="2"/>
          <w:sz w:val="30"/>
          <w:szCs w:val="30"/>
        </w:rPr>
        <w:t>,</w:t>
      </w:r>
      <w:r>
        <w:rPr>
          <w:rFonts w:hint="eastAsia" w:ascii="仿宋_GB2312" w:hAnsi="Times New Roman" w:eastAsia="仿宋_GB2312" w:cs="Times New Roman"/>
          <w:kern w:val="2"/>
          <w:sz w:val="30"/>
          <w:szCs w:val="30"/>
        </w:rPr>
        <w:t>000.1</w:t>
      </w:r>
      <w:r>
        <w:rPr>
          <w:rFonts w:ascii="仿宋_GB2312" w:hAnsi="Times New Roman" w:eastAsia="仿宋_GB2312" w:cs="Times New Roman"/>
          <w:kern w:val="2"/>
          <w:sz w:val="30"/>
          <w:szCs w:val="30"/>
        </w:rPr>
        <w:t>0</w:t>
      </w:r>
      <w:r>
        <w:rPr>
          <w:rFonts w:hint="eastAsia" w:ascii="仿宋_GB2312" w:hAnsi="Times New Roman" w:eastAsia="仿宋_GB2312" w:cs="Times New Roman"/>
          <w:kern w:val="2"/>
          <w:sz w:val="30"/>
          <w:szCs w:val="30"/>
        </w:rPr>
        <w:t>万元（占比</w:t>
      </w:r>
      <w:r>
        <w:rPr>
          <w:rFonts w:hint="eastAsia" w:ascii="仿宋_GB2312" w:hAnsi="Times New Roman" w:eastAsia="仿宋_GB2312" w:cs="Times New Roman"/>
          <w:kern w:val="2"/>
          <w:sz w:val="30"/>
          <w:szCs w:val="30"/>
          <w:lang w:val="en-US" w:eastAsia="zh-CN"/>
        </w:rPr>
        <w:t>27</w:t>
      </w:r>
      <w:r>
        <w:rPr>
          <w:rFonts w:hint="eastAsia" w:ascii="仿宋_GB2312" w:hAnsi="Times New Roman" w:eastAsia="仿宋_GB2312" w:cs="Times New Roman"/>
          <w:kern w:val="2"/>
          <w:sz w:val="30"/>
          <w:szCs w:val="30"/>
        </w:rPr>
        <w:t>%）、崔巍出资</w:t>
      </w:r>
      <w:r>
        <w:rPr>
          <w:rFonts w:hint="eastAsia" w:ascii="仿宋_GB2312" w:hAnsi="Times New Roman" w:eastAsia="仿宋_GB2312" w:cs="Times New Roman"/>
          <w:kern w:val="2"/>
          <w:sz w:val="30"/>
          <w:szCs w:val="30"/>
          <w:lang w:val="en-US" w:eastAsia="zh-CN"/>
        </w:rPr>
        <w:t>364</w:t>
      </w:r>
      <w:r>
        <w:rPr>
          <w:rFonts w:ascii="仿宋_GB2312" w:hAnsi="Times New Roman" w:eastAsia="仿宋_GB2312" w:cs="Times New Roman"/>
          <w:kern w:val="2"/>
          <w:sz w:val="30"/>
          <w:szCs w:val="30"/>
        </w:rPr>
        <w:t>,</w:t>
      </w:r>
      <w:r>
        <w:rPr>
          <w:rFonts w:hint="eastAsia" w:ascii="仿宋_GB2312" w:hAnsi="Times New Roman" w:eastAsia="仿宋_GB2312" w:cs="Times New Roman"/>
          <w:kern w:val="2"/>
          <w:sz w:val="30"/>
          <w:szCs w:val="30"/>
        </w:rPr>
        <w:t>999.9</w:t>
      </w:r>
      <w:r>
        <w:rPr>
          <w:rFonts w:ascii="仿宋_GB2312" w:hAnsi="Times New Roman" w:eastAsia="仿宋_GB2312" w:cs="Times New Roman"/>
          <w:kern w:val="2"/>
          <w:sz w:val="30"/>
          <w:szCs w:val="30"/>
        </w:rPr>
        <w:t>0</w:t>
      </w:r>
      <w:r>
        <w:rPr>
          <w:rFonts w:hint="eastAsia" w:ascii="仿宋_GB2312" w:hAnsi="Times New Roman" w:eastAsia="仿宋_GB2312" w:cs="Times New Roman"/>
          <w:kern w:val="2"/>
          <w:sz w:val="30"/>
          <w:szCs w:val="30"/>
        </w:rPr>
        <w:t>万元（占比</w:t>
      </w:r>
      <w:r>
        <w:rPr>
          <w:rFonts w:hint="eastAsia" w:ascii="仿宋_GB2312" w:hAnsi="Times New Roman" w:eastAsia="仿宋_GB2312" w:cs="Times New Roman"/>
          <w:kern w:val="2"/>
          <w:sz w:val="30"/>
          <w:szCs w:val="30"/>
          <w:lang w:val="en-US" w:eastAsia="zh-CN"/>
        </w:rPr>
        <w:t>73</w:t>
      </w:r>
      <w:r>
        <w:rPr>
          <w:rFonts w:hint="eastAsia" w:ascii="仿宋_GB2312" w:hAnsi="Times New Roman" w:eastAsia="仿宋_GB2312" w:cs="Times New Roman"/>
          <w:kern w:val="2"/>
          <w:sz w:val="30"/>
          <w:szCs w:val="30"/>
        </w:rPr>
        <w:t>%）。公司主要经营范围：各种系列电缆、光缆、通信器材（不含地面卫星接收设备）、金属材料（除贵金属外）、煤炭、五金交电、化工原料（除危险化学品）、建筑材料、装潢材料、针纺织品、纺织原料（除棉花）、铁矿石、铁矿砂、日用百货批发零售；金属镀层制品、铝合金型材的制造加工；经营电信业务；第一类增值电信业务中的互联网数据中心业务和互联网接入服务业务；自营和代理各类商品及技术的进出口业务；项目投资；股权投资；创业投资；投资咨询；投资管理；财务咨询；农副产品销售。</w:t>
      </w:r>
    </w:p>
    <w:p>
      <w:pPr>
        <w:pStyle w:val="13"/>
        <w:ind w:firstLine="600" w:firstLineChars="200"/>
        <w:jc w:val="both"/>
        <w:rPr>
          <w:rFonts w:ascii="仿宋_GB2312" w:hAnsi="Times New Roman" w:eastAsia="仿宋_GB2312" w:cs="Times New Roman"/>
          <w:kern w:val="2"/>
          <w:sz w:val="30"/>
          <w:szCs w:val="30"/>
        </w:rPr>
      </w:pPr>
      <w:r>
        <w:rPr>
          <w:rFonts w:hint="eastAsia" w:ascii="仿宋" w:hAnsi="仿宋" w:eastAsia="仿宋" w:cs="Times New Roman"/>
          <w:sz w:val="30"/>
          <w:szCs w:val="30"/>
        </w:rPr>
        <w:t>成员2：</w:t>
      </w:r>
      <w:r>
        <w:rPr>
          <w:rFonts w:hint="eastAsia" w:ascii="仿宋_GB2312" w:hAnsi="Times New Roman" w:eastAsia="仿宋_GB2312" w:cs="Times New Roman"/>
          <w:kern w:val="2"/>
          <w:sz w:val="30"/>
          <w:szCs w:val="30"/>
        </w:rPr>
        <w:t>江苏亨芯石英科技有限公司，成立于2017年4月18日，前身为江苏亨通智能科技有限公司，办公地址在苏州市吴江经济技术开发区交通北路168号，法人代表殷国</w:t>
      </w:r>
      <w:r>
        <w:rPr>
          <w:rFonts w:ascii="仿宋_GB2312" w:hAnsi="Times New Roman" w:eastAsia="仿宋_GB2312" w:cs="Times New Roman"/>
          <w:kern w:val="2"/>
          <w:sz w:val="30"/>
          <w:szCs w:val="30"/>
        </w:rPr>
        <w:t>亮</w:t>
      </w:r>
      <w:r>
        <w:rPr>
          <w:rFonts w:hint="eastAsia" w:ascii="仿宋_GB2312" w:hAnsi="Times New Roman" w:eastAsia="仿宋_GB2312" w:cs="Times New Roman"/>
          <w:kern w:val="2"/>
          <w:sz w:val="30"/>
          <w:szCs w:val="30"/>
        </w:rPr>
        <w:t>。注册资本</w:t>
      </w:r>
      <w:r>
        <w:rPr>
          <w:rFonts w:ascii="仿宋_GB2312" w:hAnsi="Times New Roman" w:eastAsia="仿宋_GB2312" w:cs="Times New Roman"/>
          <w:kern w:val="2"/>
          <w:sz w:val="30"/>
          <w:szCs w:val="30"/>
        </w:rPr>
        <w:t>10</w:t>
      </w:r>
      <w:r>
        <w:rPr>
          <w:rFonts w:hint="eastAsia" w:ascii="仿宋_GB2312" w:hAnsi="Times New Roman" w:eastAsia="仿宋_GB2312" w:cs="Times New Roman"/>
          <w:kern w:val="2"/>
          <w:sz w:val="30"/>
          <w:szCs w:val="30"/>
        </w:rPr>
        <w:t>,</w:t>
      </w:r>
      <w:r>
        <w:rPr>
          <w:rFonts w:ascii="仿宋_GB2312" w:hAnsi="Times New Roman" w:eastAsia="仿宋_GB2312" w:cs="Times New Roman"/>
          <w:kern w:val="2"/>
          <w:sz w:val="30"/>
          <w:szCs w:val="30"/>
        </w:rPr>
        <w:t>000</w:t>
      </w:r>
      <w:r>
        <w:rPr>
          <w:rFonts w:hint="eastAsia" w:ascii="仿宋_GB2312" w:hAnsi="Times New Roman" w:eastAsia="仿宋_GB2312" w:cs="Times New Roman"/>
          <w:kern w:val="2"/>
          <w:sz w:val="30"/>
          <w:szCs w:val="30"/>
        </w:rPr>
        <w:t>万元，由亨通集团有限公司全额出资</w:t>
      </w:r>
      <w:r>
        <w:rPr>
          <w:rFonts w:ascii="仿宋_GB2312" w:hAnsi="Times New Roman" w:eastAsia="仿宋_GB2312" w:cs="Times New Roman"/>
          <w:kern w:val="2"/>
          <w:sz w:val="30"/>
          <w:szCs w:val="30"/>
        </w:rPr>
        <w:t>10</w:t>
      </w:r>
      <w:r>
        <w:rPr>
          <w:rFonts w:hint="eastAsia" w:ascii="仿宋_GB2312" w:hAnsi="Times New Roman" w:eastAsia="仿宋_GB2312" w:cs="Times New Roman"/>
          <w:kern w:val="2"/>
          <w:sz w:val="30"/>
          <w:szCs w:val="30"/>
        </w:rPr>
        <w:t>,</w:t>
      </w:r>
      <w:r>
        <w:rPr>
          <w:rFonts w:ascii="仿宋_GB2312" w:hAnsi="Times New Roman" w:eastAsia="仿宋_GB2312" w:cs="Times New Roman"/>
          <w:kern w:val="2"/>
          <w:sz w:val="30"/>
          <w:szCs w:val="30"/>
        </w:rPr>
        <w:t>000</w:t>
      </w:r>
      <w:r>
        <w:rPr>
          <w:rFonts w:hint="eastAsia" w:ascii="仿宋_GB2312" w:hAnsi="Times New Roman" w:eastAsia="仿宋_GB2312" w:cs="Times New Roman"/>
          <w:kern w:val="2"/>
          <w:sz w:val="30"/>
          <w:szCs w:val="30"/>
        </w:rPr>
        <w:t>万元（占比100%）。公司主要经营范围：许可项目：互联网信息服务；特种设备设计；特种设备制造；电气安装服务；建设工程施工。一般项目：技术玻璃制品制造；技术玻璃制品销售；非金属矿物制品制造；非金属矿及制品销售；通用设备制造（不含特种设备制造）；烘炉、熔炉及电炉制造；烘炉、熔炉及电炉销售；电工器材制造；电工器材销售；机械电气设备制造；机械电气设备销售；物料搬运装备制造；光通信设备制造；光通信设备销售；电工机械专用设备制造；智能物料搬运装备销售；物料搬运装备销售；智能仓储装备销售；伺服控制机构制造；伺服控制机构销售；工业机器人制造；工业机器人销售；工业控制计算机及系统制造；工业控制计算机及系统销售；数字视频监控系统制造；数字视频监控系统销售；软件开发；物联网技术研发；物联网技术服务；人工智能应用软件开发；计算机系统服务；网络技术服务；智能控制系统集成；信息系统集成服务；人工智能行业应用系统集成服务；信息技术咨询服务；配电开关控制设备研发；配电开关控制设备制造；配电开关控制设备销售；技术服务、技术开发、技术咨询、技术交流、技术转让、技术推广；专业设计服务；特种设备销售；普通机械设备安装服务；仪器仪表销售；货物进出口。</w:t>
      </w:r>
    </w:p>
    <w:p>
      <w:pPr>
        <w:pStyle w:val="13"/>
        <w:ind w:firstLine="600" w:firstLineChars="200"/>
        <w:jc w:val="both"/>
        <w:rPr>
          <w:rFonts w:ascii="仿宋_GB2312" w:hAnsi="Times New Roman" w:eastAsia="仿宋_GB2312" w:cs="Times New Roman"/>
          <w:kern w:val="2"/>
          <w:sz w:val="30"/>
          <w:szCs w:val="30"/>
        </w:rPr>
      </w:pPr>
      <w:r>
        <w:rPr>
          <w:rFonts w:hint="eastAsia" w:ascii="仿宋" w:hAnsi="仿宋" w:eastAsia="仿宋" w:cs="Times New Roman"/>
          <w:sz w:val="30"/>
          <w:szCs w:val="30"/>
        </w:rPr>
        <w:t>成员3：</w:t>
      </w:r>
      <w:r>
        <w:rPr>
          <w:rFonts w:hint="eastAsia" w:ascii="仿宋_GB2312" w:hAnsi="Times New Roman" w:eastAsia="仿宋_GB2312" w:cs="Times New Roman"/>
          <w:kern w:val="2"/>
          <w:sz w:val="30"/>
          <w:szCs w:val="30"/>
        </w:rPr>
        <w:t>苏商融资租赁有限公司，成立于2013年3月8日，办公地址在苏州工业园区苏虹东路183号东沙湖基金小镇13幢301室，法人代表熊凛。注册资本</w:t>
      </w:r>
      <w:r>
        <w:rPr>
          <w:rFonts w:ascii="仿宋_GB2312" w:hAnsi="Times New Roman" w:eastAsia="仿宋_GB2312" w:cs="Times New Roman"/>
          <w:kern w:val="2"/>
          <w:sz w:val="30"/>
          <w:szCs w:val="30"/>
        </w:rPr>
        <w:t>5</w:t>
      </w:r>
      <w:r>
        <w:rPr>
          <w:rFonts w:hint="eastAsia" w:ascii="仿宋_GB2312" w:hAnsi="Times New Roman" w:eastAsia="仿宋_GB2312" w:cs="Times New Roman"/>
          <w:kern w:val="2"/>
          <w:sz w:val="30"/>
          <w:szCs w:val="30"/>
        </w:rPr>
        <w:t>,</w:t>
      </w:r>
      <w:r>
        <w:rPr>
          <w:rFonts w:ascii="仿宋_GB2312" w:hAnsi="Times New Roman" w:eastAsia="仿宋_GB2312" w:cs="Times New Roman"/>
          <w:kern w:val="2"/>
          <w:sz w:val="30"/>
          <w:szCs w:val="30"/>
        </w:rPr>
        <w:t>000</w:t>
      </w:r>
      <w:r>
        <w:rPr>
          <w:rFonts w:hint="eastAsia" w:ascii="仿宋_GB2312" w:hAnsi="Times New Roman" w:eastAsia="仿宋_GB2312" w:cs="Times New Roman"/>
          <w:kern w:val="2"/>
          <w:sz w:val="30"/>
          <w:szCs w:val="30"/>
        </w:rPr>
        <w:t>万美元，由南中信有限公司出资</w:t>
      </w:r>
      <w:r>
        <w:rPr>
          <w:rFonts w:ascii="仿宋_GB2312" w:hAnsi="Times New Roman" w:eastAsia="仿宋_GB2312" w:cs="Times New Roman"/>
          <w:kern w:val="2"/>
          <w:sz w:val="30"/>
          <w:szCs w:val="30"/>
        </w:rPr>
        <w:t>3</w:t>
      </w:r>
      <w:r>
        <w:rPr>
          <w:rFonts w:hint="eastAsia" w:ascii="仿宋_GB2312" w:hAnsi="Times New Roman" w:eastAsia="仿宋_GB2312" w:cs="Times New Roman"/>
          <w:kern w:val="2"/>
          <w:sz w:val="30"/>
          <w:szCs w:val="30"/>
        </w:rPr>
        <w:t>,</w:t>
      </w:r>
      <w:r>
        <w:rPr>
          <w:rFonts w:ascii="仿宋_GB2312" w:hAnsi="Times New Roman" w:eastAsia="仿宋_GB2312" w:cs="Times New Roman"/>
          <w:kern w:val="2"/>
          <w:sz w:val="30"/>
          <w:szCs w:val="30"/>
        </w:rPr>
        <w:t>000</w:t>
      </w:r>
      <w:r>
        <w:rPr>
          <w:rFonts w:hint="eastAsia" w:ascii="仿宋_GB2312" w:hAnsi="Times New Roman" w:eastAsia="仿宋_GB2312" w:cs="Times New Roman"/>
          <w:kern w:val="2"/>
          <w:sz w:val="30"/>
          <w:szCs w:val="30"/>
        </w:rPr>
        <w:t>万美元（占比60%）、江苏亨通金控投资有限公司出资</w:t>
      </w:r>
      <w:r>
        <w:rPr>
          <w:rFonts w:ascii="仿宋_GB2312" w:hAnsi="Times New Roman" w:eastAsia="仿宋_GB2312" w:cs="Times New Roman"/>
          <w:kern w:val="2"/>
          <w:sz w:val="30"/>
          <w:szCs w:val="30"/>
        </w:rPr>
        <w:t>2</w:t>
      </w:r>
      <w:r>
        <w:rPr>
          <w:rFonts w:hint="eastAsia" w:ascii="仿宋_GB2312" w:hAnsi="Times New Roman" w:eastAsia="仿宋_GB2312" w:cs="Times New Roman"/>
          <w:kern w:val="2"/>
          <w:sz w:val="30"/>
          <w:szCs w:val="30"/>
        </w:rPr>
        <w:t>,</w:t>
      </w:r>
      <w:r>
        <w:rPr>
          <w:rFonts w:ascii="仿宋_GB2312" w:hAnsi="Times New Roman" w:eastAsia="仿宋_GB2312" w:cs="Times New Roman"/>
          <w:kern w:val="2"/>
          <w:sz w:val="30"/>
          <w:szCs w:val="30"/>
        </w:rPr>
        <w:t>000</w:t>
      </w:r>
      <w:r>
        <w:rPr>
          <w:rFonts w:hint="eastAsia" w:ascii="仿宋_GB2312" w:hAnsi="Times New Roman" w:eastAsia="仿宋_GB2312" w:cs="Times New Roman"/>
          <w:kern w:val="2"/>
          <w:sz w:val="30"/>
          <w:szCs w:val="30"/>
        </w:rPr>
        <w:t>万美元（占比40%）。公司主要经营范围：融资租赁业务、租赁业务、向国内外购买租赁财产、租赁财产的残值处理及维修、租赁交易咨询和担保。</w:t>
      </w:r>
    </w:p>
    <w:p>
      <w:pPr>
        <w:pStyle w:val="13"/>
        <w:ind w:firstLine="600" w:firstLineChars="200"/>
        <w:jc w:val="both"/>
        <w:rPr>
          <w:rFonts w:ascii="仿宋_GB2312" w:hAnsi="Times New Roman" w:eastAsia="仿宋_GB2312" w:cs="Times New Roman"/>
          <w:kern w:val="2"/>
          <w:sz w:val="30"/>
          <w:szCs w:val="30"/>
        </w:rPr>
      </w:pPr>
      <w:r>
        <w:rPr>
          <w:rFonts w:hint="eastAsia" w:ascii="仿宋" w:hAnsi="仿宋" w:eastAsia="仿宋" w:cs="Times New Roman"/>
          <w:sz w:val="30"/>
          <w:szCs w:val="30"/>
        </w:rPr>
        <w:t>成员4：</w:t>
      </w:r>
      <w:r>
        <w:rPr>
          <w:rFonts w:hint="eastAsia" w:ascii="仿宋_GB2312" w:hAnsi="Times New Roman" w:eastAsia="仿宋_GB2312" w:cs="Times New Roman"/>
          <w:kern w:val="2"/>
          <w:sz w:val="30"/>
          <w:szCs w:val="30"/>
        </w:rPr>
        <w:t>亨通文旅发展有限公司，成立于2016年5月31日，办公地址在苏州市吴江区太湖生态旅游度假区（太湖新城）钟秀南路999号，法人代表崔巍。注册资本50</w:t>
      </w:r>
      <w:r>
        <w:rPr>
          <w:rFonts w:ascii="仿宋_GB2312" w:hAnsi="Times New Roman" w:eastAsia="仿宋_GB2312" w:cs="Times New Roman"/>
          <w:kern w:val="2"/>
          <w:sz w:val="30"/>
          <w:szCs w:val="30"/>
        </w:rPr>
        <w:t>,</w:t>
      </w:r>
      <w:r>
        <w:rPr>
          <w:rFonts w:hint="eastAsia" w:ascii="仿宋_GB2312" w:hAnsi="Times New Roman" w:eastAsia="仿宋_GB2312" w:cs="Times New Roman"/>
          <w:kern w:val="2"/>
          <w:sz w:val="30"/>
          <w:szCs w:val="30"/>
        </w:rPr>
        <w:t>000万元，由亨通地产股份有限公司全额出资（占比100%）。公司主要经营范围：旅游景区开发、管理及运营；旅游配套设施的建设、管理及运营；文化实业投资；文化艺术活动策划；展览展示；会议服务；市场营销策划；广告设计、制作、代理、发布；食品销售；停车场服务；经济与商务咨询；自营和代理各类商品及技术的进出口业务。一般项目：非居住房地产租赁；租赁服务（不含许可类租赁服务）；休闲娱乐用品设备出租；物业管理。</w:t>
      </w:r>
    </w:p>
    <w:p>
      <w:pPr>
        <w:ind w:firstLine="600" w:firstLineChars="200"/>
        <w:jc w:val="both"/>
        <w:rPr>
          <w:rFonts w:ascii="仿宋_GB2312" w:eastAsia="仿宋_GB2312"/>
          <w:sz w:val="30"/>
          <w:szCs w:val="30"/>
        </w:rPr>
      </w:pPr>
      <w:r>
        <w:rPr>
          <w:rFonts w:hint="eastAsia" w:ascii="仿宋" w:hAnsi="仿宋" w:eastAsia="仿宋" w:cs="Times New Roman"/>
          <w:sz w:val="30"/>
          <w:szCs w:val="30"/>
        </w:rPr>
        <w:t>成员5：</w:t>
      </w:r>
      <w:r>
        <w:rPr>
          <w:rFonts w:hint="eastAsia" w:ascii="仿宋_GB2312" w:eastAsia="仿宋_GB2312"/>
          <w:sz w:val="30"/>
          <w:szCs w:val="30"/>
        </w:rPr>
        <w:t>广德亨通铜业有限公司，成立于2011年12月30日，办公地址在安徽省宣城市广德县新杭经济开发区，法人代表</w:t>
      </w:r>
      <w:r>
        <w:rPr>
          <w:rFonts w:hint="eastAsia" w:ascii="仿宋_GB2312" w:eastAsia="仿宋_GB2312"/>
          <w:sz w:val="30"/>
          <w:szCs w:val="30"/>
          <w:lang w:eastAsia="zh-CN"/>
        </w:rPr>
        <w:t>张卫民</w:t>
      </w:r>
      <w:r>
        <w:rPr>
          <w:rFonts w:hint="eastAsia" w:ascii="仿宋_GB2312" w:eastAsia="仿宋_GB2312"/>
          <w:sz w:val="30"/>
          <w:szCs w:val="30"/>
        </w:rPr>
        <w:t>。注册资本为7</w:t>
      </w:r>
      <w:r>
        <w:rPr>
          <w:rFonts w:ascii="仿宋_GB2312" w:eastAsia="仿宋_GB2312"/>
          <w:sz w:val="30"/>
          <w:szCs w:val="30"/>
        </w:rPr>
        <w:t>,</w:t>
      </w:r>
      <w:r>
        <w:rPr>
          <w:rFonts w:hint="eastAsia" w:ascii="仿宋_GB2312" w:eastAsia="仿宋_GB2312"/>
          <w:sz w:val="30"/>
          <w:szCs w:val="30"/>
        </w:rPr>
        <w:t>000万元，由江苏亨通光电股份有限公司全额出资（占比100%）。公司主要经营范围：许可项目</w:t>
      </w:r>
      <w:r>
        <w:rPr>
          <w:rFonts w:ascii="仿宋_GB2312" w:eastAsia="仿宋_GB2312"/>
          <w:sz w:val="30"/>
          <w:szCs w:val="30"/>
        </w:rPr>
        <w:t>:电线、电缆制造</w:t>
      </w:r>
      <w:r>
        <w:rPr>
          <w:rFonts w:hint="eastAsia" w:ascii="仿宋_GB2312" w:eastAsia="仿宋_GB2312"/>
          <w:sz w:val="30"/>
          <w:szCs w:val="30"/>
        </w:rPr>
        <w:t>废弃电器电子产品处理（依法须经批准的项目</w:t>
      </w:r>
      <w:r>
        <w:rPr>
          <w:rFonts w:ascii="仿宋_GB2312" w:eastAsia="仿宋_GB2312"/>
          <w:sz w:val="30"/>
          <w:szCs w:val="30"/>
        </w:rPr>
        <w:t>,经相关部门批准后方可开展经营活动,具体经营项目以相关部门批准文件或许可证件为准）</w:t>
      </w:r>
      <w:r>
        <w:rPr>
          <w:rFonts w:hint="eastAsia" w:ascii="仿宋_GB2312" w:eastAsia="仿宋_GB2312"/>
          <w:sz w:val="30"/>
          <w:szCs w:val="30"/>
        </w:rPr>
        <w:t>；一般项目</w:t>
      </w:r>
      <w:r>
        <w:rPr>
          <w:rFonts w:ascii="仿宋_GB2312" w:eastAsia="仿宋_GB2312"/>
          <w:sz w:val="30"/>
          <w:szCs w:val="30"/>
        </w:rPr>
        <w:t>:金属丝绳及其制品制造</w:t>
      </w:r>
      <w:r>
        <w:rPr>
          <w:rFonts w:hint="eastAsia" w:ascii="仿宋_GB2312" w:eastAsia="仿宋_GB2312"/>
          <w:sz w:val="30"/>
          <w:szCs w:val="30"/>
        </w:rPr>
        <w:t>有色金属压延加工进出口代理。</w:t>
      </w:r>
    </w:p>
    <w:p>
      <w:pPr>
        <w:ind w:firstLine="600" w:firstLineChars="200"/>
        <w:rPr>
          <w:rFonts w:hint="eastAsia" w:ascii="仿宋_GB2312" w:eastAsia="仿宋_GB2312"/>
          <w:sz w:val="30"/>
          <w:szCs w:val="30"/>
          <w:highlight w:val="none"/>
          <w:lang w:eastAsia="zh-CN"/>
        </w:rPr>
      </w:pPr>
      <w:r>
        <w:rPr>
          <w:rFonts w:hint="eastAsia" w:ascii="仿宋" w:hAnsi="仿宋" w:eastAsia="仿宋" w:cs="Times New Roman"/>
          <w:sz w:val="30"/>
          <w:szCs w:val="30"/>
        </w:rPr>
        <w:t>成员6：</w:t>
      </w:r>
      <w:r>
        <w:rPr>
          <w:rFonts w:hint="eastAsia" w:ascii="仿宋_GB2312" w:eastAsia="仿宋_GB2312"/>
          <w:sz w:val="30"/>
          <w:szCs w:val="30"/>
        </w:rPr>
        <w:t>江苏五一互联电子商务有限公司，成立于20</w:t>
      </w:r>
      <w:r>
        <w:rPr>
          <w:rFonts w:hint="eastAsia" w:ascii="仿宋_GB2312" w:eastAsia="仿宋_GB2312"/>
          <w:sz w:val="30"/>
          <w:szCs w:val="30"/>
          <w:lang w:val="en-US" w:eastAsia="zh-CN"/>
        </w:rPr>
        <w:t>17</w:t>
      </w:r>
      <w:r>
        <w:rPr>
          <w:rFonts w:hint="eastAsia" w:ascii="仿宋_GB2312" w:eastAsia="仿宋_GB2312"/>
          <w:sz w:val="30"/>
          <w:szCs w:val="30"/>
        </w:rPr>
        <w:t>年</w:t>
      </w:r>
      <w:r>
        <w:rPr>
          <w:rFonts w:hint="eastAsia" w:ascii="仿宋_GB2312" w:eastAsia="仿宋_GB2312"/>
          <w:sz w:val="30"/>
          <w:szCs w:val="30"/>
          <w:lang w:val="en-US" w:eastAsia="zh-CN"/>
        </w:rPr>
        <w:t>10</w:t>
      </w:r>
      <w:r>
        <w:rPr>
          <w:rFonts w:hint="eastAsia" w:ascii="仿宋_GB2312" w:eastAsia="仿宋_GB2312"/>
          <w:sz w:val="30"/>
          <w:szCs w:val="30"/>
        </w:rPr>
        <w:t>月</w:t>
      </w:r>
      <w:r>
        <w:rPr>
          <w:rFonts w:hint="eastAsia" w:ascii="仿宋_GB2312" w:eastAsia="仿宋_GB2312"/>
          <w:sz w:val="30"/>
          <w:szCs w:val="30"/>
          <w:lang w:val="en-US" w:eastAsia="zh-CN"/>
        </w:rPr>
        <w:t>9</w:t>
      </w:r>
      <w:r>
        <w:rPr>
          <w:rFonts w:hint="eastAsia" w:ascii="仿宋_GB2312" w:eastAsia="仿宋_GB2312"/>
          <w:sz w:val="30"/>
          <w:szCs w:val="30"/>
        </w:rPr>
        <w:t>日，办公地址在苏州市吴江区</w:t>
      </w:r>
      <w:r>
        <w:rPr>
          <w:rFonts w:hint="eastAsia" w:ascii="仿宋_GB2312" w:eastAsia="仿宋_GB2312"/>
          <w:sz w:val="30"/>
          <w:szCs w:val="30"/>
          <w:lang w:eastAsia="zh-CN"/>
        </w:rPr>
        <w:t>东太湖生态旅游度假区夏蓉街</w:t>
      </w:r>
      <w:r>
        <w:rPr>
          <w:rFonts w:hint="eastAsia" w:ascii="仿宋_GB2312" w:eastAsia="仿宋_GB2312"/>
          <w:sz w:val="30"/>
          <w:szCs w:val="30"/>
          <w:lang w:val="en-US" w:eastAsia="zh-CN"/>
        </w:rPr>
        <w:t>199号</w:t>
      </w:r>
      <w:r>
        <w:rPr>
          <w:rFonts w:hint="eastAsia" w:ascii="仿宋_GB2312" w:eastAsia="仿宋_GB2312"/>
          <w:sz w:val="30"/>
          <w:szCs w:val="30"/>
        </w:rPr>
        <w:t>，法人代表</w:t>
      </w:r>
      <w:r>
        <w:rPr>
          <w:rFonts w:hint="eastAsia" w:ascii="仿宋_GB2312" w:eastAsia="仿宋_GB2312"/>
          <w:sz w:val="30"/>
          <w:szCs w:val="30"/>
          <w:lang w:eastAsia="zh-CN"/>
        </w:rPr>
        <w:t>陆春良</w:t>
      </w:r>
      <w:r>
        <w:rPr>
          <w:rFonts w:hint="eastAsia" w:ascii="仿宋_GB2312" w:eastAsia="仿宋_GB2312"/>
          <w:sz w:val="30"/>
          <w:szCs w:val="30"/>
        </w:rPr>
        <w:t>。注册资本为</w:t>
      </w:r>
      <w:r>
        <w:rPr>
          <w:rFonts w:hint="eastAsia" w:ascii="仿宋_GB2312" w:eastAsia="仿宋_GB2312"/>
          <w:sz w:val="30"/>
          <w:szCs w:val="30"/>
          <w:lang w:val="en-US" w:eastAsia="zh-CN"/>
        </w:rPr>
        <w:t>7750</w:t>
      </w:r>
      <w:r>
        <w:rPr>
          <w:rFonts w:hint="eastAsia" w:ascii="仿宋_GB2312" w:eastAsia="仿宋_GB2312"/>
          <w:sz w:val="30"/>
          <w:szCs w:val="30"/>
        </w:rPr>
        <w:t>万元，由</w:t>
      </w:r>
      <w:r>
        <w:rPr>
          <w:rFonts w:hint="eastAsia" w:ascii="仿宋_GB2312" w:eastAsia="仿宋_GB2312"/>
          <w:sz w:val="30"/>
          <w:szCs w:val="30"/>
          <w:lang w:eastAsia="zh-CN"/>
        </w:rPr>
        <w:t>江苏亨通投资控股有限公司出资</w:t>
      </w:r>
      <w:r>
        <w:rPr>
          <w:rFonts w:hint="eastAsia" w:ascii="仿宋_GB2312" w:eastAsia="仿宋_GB2312"/>
          <w:sz w:val="30"/>
          <w:szCs w:val="30"/>
          <w:lang w:val="en-US" w:eastAsia="zh-CN"/>
        </w:rPr>
        <w:t>6200万元（占比80%）、深圳南岭慧业战略新兴产业股权投资基金合伙企业（有限合伙）（占比20%）</w:t>
      </w:r>
      <w:r>
        <w:rPr>
          <w:rFonts w:hint="eastAsia" w:ascii="仿宋_GB2312" w:eastAsia="仿宋_GB2312"/>
          <w:sz w:val="30"/>
          <w:szCs w:val="30"/>
        </w:rPr>
        <w:t>。公司主要经营</w:t>
      </w:r>
      <w:r>
        <w:rPr>
          <w:rFonts w:hint="eastAsia" w:ascii="仿宋_GB2312" w:eastAsia="仿宋_GB2312"/>
          <w:sz w:val="30"/>
          <w:szCs w:val="30"/>
          <w:lang w:eastAsia="zh-CN"/>
        </w:rPr>
        <w:t>范围：有色金属、电工器材、电工设备、工业用材料（危险化学品除外）、电线电缆、电线电缆设备及附件、输配变电设备销售及网上销售；计算机技术领域内的技术开发、技术转让、技术咨询、技术服务；金属材料、金属制品、矿产品（除专控）、机械设备及零部件销售；商务咨询；会议及展览服务；第二类增值电信服务中的信息服务业务（仅限互联网信息服务）；供应链管理和供应链外包服务；仓储服务（除易燃、易爆、危险化学品）；普通道路货物运输代理；装</w:t>
      </w:r>
      <w:r>
        <w:rPr>
          <w:rFonts w:hint="eastAsia" w:ascii="仿宋_GB2312" w:eastAsia="仿宋_GB2312"/>
          <w:sz w:val="30"/>
          <w:szCs w:val="30"/>
          <w:highlight w:val="none"/>
          <w:lang w:eastAsia="zh-CN"/>
        </w:rPr>
        <w:t>卸服务；自营和代理各类商品及技术的进出口业务。</w:t>
      </w:r>
    </w:p>
    <w:p>
      <w:pPr>
        <w:ind w:firstLine="600" w:firstLineChars="200"/>
        <w:rPr>
          <w:rFonts w:hint="eastAsia" w:ascii="仿宋_GB2312" w:eastAsia="仿宋_GB2312"/>
          <w:sz w:val="30"/>
          <w:szCs w:val="30"/>
          <w:highlight w:val="none"/>
          <w:lang w:eastAsia="zh-CN"/>
        </w:rPr>
      </w:pPr>
      <w:r>
        <w:rPr>
          <w:rFonts w:hint="eastAsia" w:ascii="仿宋" w:hAnsi="仿宋" w:eastAsia="仿宋" w:cs="Times New Roman"/>
          <w:sz w:val="30"/>
          <w:szCs w:val="30"/>
          <w:highlight w:val="none"/>
        </w:rPr>
        <w:t>成员</w:t>
      </w:r>
      <w:r>
        <w:rPr>
          <w:rFonts w:hint="eastAsia" w:ascii="仿宋" w:hAnsi="仿宋" w:eastAsia="仿宋" w:cs="Times New Roman"/>
          <w:sz w:val="30"/>
          <w:szCs w:val="30"/>
          <w:highlight w:val="none"/>
          <w:lang w:val="en-US" w:eastAsia="zh-CN"/>
        </w:rPr>
        <w:t>7</w:t>
      </w:r>
      <w:r>
        <w:rPr>
          <w:rFonts w:hint="eastAsia" w:ascii="仿宋" w:hAnsi="仿宋" w:eastAsia="仿宋" w:cs="Times New Roman"/>
          <w:sz w:val="30"/>
          <w:szCs w:val="30"/>
          <w:highlight w:val="none"/>
        </w:rPr>
        <w:t>：</w:t>
      </w:r>
      <w:r>
        <w:rPr>
          <w:rFonts w:hint="eastAsia" w:ascii="仿宋_GB2312" w:eastAsia="仿宋_GB2312"/>
          <w:sz w:val="30"/>
          <w:szCs w:val="30"/>
          <w:highlight w:val="none"/>
        </w:rPr>
        <w:t>江苏联芯通信技术有限公司</w:t>
      </w:r>
      <w:r>
        <w:rPr>
          <w:rFonts w:hint="eastAsia" w:ascii="仿宋_GB2312" w:eastAsia="仿宋_GB2312"/>
          <w:sz w:val="30"/>
          <w:szCs w:val="30"/>
          <w:highlight w:val="none"/>
          <w:lang w:eastAsia="zh-CN"/>
        </w:rPr>
        <w:t>，成立于成立于</w:t>
      </w:r>
      <w:r>
        <w:rPr>
          <w:rFonts w:hint="eastAsia" w:ascii="仿宋_GB2312" w:eastAsia="仿宋_GB2312"/>
          <w:sz w:val="30"/>
          <w:szCs w:val="30"/>
          <w:highlight w:val="none"/>
          <w:lang w:val="en-US" w:eastAsia="zh-CN"/>
        </w:rPr>
        <w:t>2018</w:t>
      </w:r>
      <w:r>
        <w:rPr>
          <w:rFonts w:hint="eastAsia" w:ascii="仿宋_GB2312" w:eastAsia="仿宋_GB2312"/>
          <w:sz w:val="30"/>
          <w:szCs w:val="30"/>
          <w:highlight w:val="none"/>
          <w:lang w:eastAsia="zh-CN"/>
        </w:rPr>
        <w:t>年</w:t>
      </w:r>
      <w:r>
        <w:rPr>
          <w:rFonts w:hint="eastAsia" w:ascii="仿宋_GB2312" w:eastAsia="仿宋_GB2312"/>
          <w:sz w:val="30"/>
          <w:szCs w:val="30"/>
          <w:highlight w:val="none"/>
          <w:lang w:val="en-US" w:eastAsia="zh-CN"/>
        </w:rPr>
        <w:t>8</w:t>
      </w:r>
      <w:r>
        <w:rPr>
          <w:rFonts w:hint="eastAsia" w:ascii="仿宋_GB2312" w:eastAsia="仿宋_GB2312"/>
          <w:sz w:val="30"/>
          <w:szCs w:val="30"/>
          <w:highlight w:val="none"/>
          <w:lang w:eastAsia="zh-CN"/>
        </w:rPr>
        <w:t>月</w:t>
      </w:r>
      <w:r>
        <w:rPr>
          <w:rFonts w:hint="eastAsia" w:ascii="仿宋_GB2312" w:eastAsia="仿宋_GB2312"/>
          <w:sz w:val="30"/>
          <w:szCs w:val="30"/>
          <w:highlight w:val="none"/>
          <w:lang w:val="en-US" w:eastAsia="zh-CN"/>
        </w:rPr>
        <w:t>30</w:t>
      </w:r>
      <w:r>
        <w:rPr>
          <w:rFonts w:hint="eastAsia" w:ascii="仿宋_GB2312" w:eastAsia="仿宋_GB2312"/>
          <w:sz w:val="30"/>
          <w:szCs w:val="30"/>
          <w:highlight w:val="none"/>
          <w:lang w:eastAsia="zh-CN"/>
        </w:rPr>
        <w:t>日，办公地址在吴江经济技术开发区中山北路</w:t>
      </w:r>
      <w:r>
        <w:rPr>
          <w:rFonts w:hint="eastAsia" w:ascii="仿宋_GB2312" w:eastAsia="仿宋_GB2312"/>
          <w:sz w:val="30"/>
          <w:szCs w:val="30"/>
          <w:highlight w:val="none"/>
          <w:lang w:val="en-US" w:eastAsia="zh-CN"/>
        </w:rPr>
        <w:t>2288号</w:t>
      </w:r>
      <w:r>
        <w:rPr>
          <w:rFonts w:hint="eastAsia" w:ascii="仿宋_GB2312" w:eastAsia="仿宋_GB2312"/>
          <w:sz w:val="30"/>
          <w:szCs w:val="30"/>
          <w:highlight w:val="none"/>
          <w:lang w:eastAsia="zh-CN"/>
        </w:rPr>
        <w:t>，法人代表施少良。注册资本5000万元，由苏州环亚航宇科技有限公司出资</w:t>
      </w:r>
      <w:r>
        <w:rPr>
          <w:rFonts w:hint="eastAsia" w:ascii="仿宋_GB2312" w:eastAsia="仿宋_GB2312"/>
          <w:sz w:val="30"/>
          <w:szCs w:val="30"/>
          <w:highlight w:val="none"/>
          <w:lang w:val="en-US" w:eastAsia="zh-CN"/>
        </w:rPr>
        <w:t>3500</w:t>
      </w:r>
      <w:r>
        <w:rPr>
          <w:rFonts w:hint="eastAsia" w:ascii="仿宋_GB2312" w:eastAsia="仿宋_GB2312"/>
          <w:sz w:val="30"/>
          <w:szCs w:val="30"/>
          <w:highlight w:val="none"/>
          <w:lang w:eastAsia="zh-CN"/>
        </w:rPr>
        <w:t>万元（占比</w:t>
      </w:r>
      <w:r>
        <w:rPr>
          <w:rFonts w:hint="eastAsia" w:ascii="仿宋_GB2312" w:eastAsia="仿宋_GB2312"/>
          <w:sz w:val="30"/>
          <w:szCs w:val="30"/>
          <w:highlight w:val="none"/>
          <w:lang w:val="en-US" w:eastAsia="zh-CN"/>
        </w:rPr>
        <w:t>7</w:t>
      </w:r>
      <w:r>
        <w:rPr>
          <w:rFonts w:hint="eastAsia" w:ascii="仿宋_GB2312" w:eastAsia="仿宋_GB2312"/>
          <w:sz w:val="30"/>
          <w:szCs w:val="30"/>
          <w:highlight w:val="none"/>
          <w:lang w:eastAsia="zh-CN"/>
        </w:rPr>
        <w:t>0%）、江苏亨通投资控股有限公司出资</w:t>
      </w:r>
      <w:r>
        <w:rPr>
          <w:rFonts w:hint="eastAsia" w:ascii="仿宋_GB2312" w:eastAsia="仿宋_GB2312"/>
          <w:sz w:val="30"/>
          <w:szCs w:val="30"/>
          <w:highlight w:val="none"/>
          <w:lang w:val="en-US" w:eastAsia="zh-CN"/>
        </w:rPr>
        <w:t>1500万</w:t>
      </w:r>
      <w:r>
        <w:rPr>
          <w:rFonts w:hint="eastAsia" w:ascii="仿宋_GB2312" w:eastAsia="仿宋_GB2312"/>
          <w:sz w:val="30"/>
          <w:szCs w:val="30"/>
          <w:highlight w:val="none"/>
          <w:lang w:eastAsia="zh-CN"/>
        </w:rPr>
        <w:t>（占比</w:t>
      </w:r>
      <w:r>
        <w:rPr>
          <w:rFonts w:hint="eastAsia" w:ascii="仿宋_GB2312" w:eastAsia="仿宋_GB2312"/>
          <w:sz w:val="30"/>
          <w:szCs w:val="30"/>
          <w:highlight w:val="none"/>
          <w:lang w:val="en-US" w:eastAsia="zh-CN"/>
        </w:rPr>
        <w:t>3</w:t>
      </w:r>
      <w:r>
        <w:rPr>
          <w:rFonts w:hint="eastAsia" w:ascii="仿宋_GB2312" w:eastAsia="仿宋_GB2312"/>
          <w:sz w:val="30"/>
          <w:szCs w:val="30"/>
          <w:highlight w:val="none"/>
          <w:lang w:eastAsia="zh-CN"/>
        </w:rPr>
        <w:t>0%）。公司主要经营范围：智能物联系统软件的技术开发、技术服务；数据处理服务；智能通信产品的研发、销售；工程技术服务；自营和代理各类商品和技术的进出口业务。（依法须经批准的项目，经相关部门批准后方可开展经营活动）一般项目：光缆销售；电线、电缆经营；通信设备销售；高性能有色金属及合金材料销售；金属材料销售；煤炭及制品销售；五金产品批发；化工产品销售（不含许可类化工产品）；建筑材料销售；建筑装饰材料销售；针纺织品销售；针纺织品及原料销售；日用百货销售（除依法须经批准的项目外，凭营业执照依法自主开展经营活动）</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（二）</w:t>
      </w:r>
      <w:r>
        <w:rPr>
          <w:rFonts w:hint="eastAsia" w:ascii="仿宋_GB2312" w:hAnsi="Times New Roman" w:eastAsia="仿宋_GB2312" w:cs="Times New Roman"/>
          <w:sz w:val="30"/>
          <w:szCs w:val="30"/>
        </w:rPr>
        <w:t>与本行关联关系</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亨通集团有限公司为本行主要股东，其余</w:t>
      </w:r>
      <w:r>
        <w:rPr>
          <w:rFonts w:hint="eastAsia" w:ascii="仿宋" w:hAnsi="仿宋" w:eastAsia="仿宋" w:cs="Times New Roman"/>
          <w:sz w:val="30"/>
          <w:szCs w:val="30"/>
          <w:lang w:eastAsia="zh-CN"/>
        </w:rPr>
        <w:t>六</w:t>
      </w:r>
      <w:r>
        <w:rPr>
          <w:rFonts w:hint="eastAsia" w:ascii="仿宋" w:hAnsi="仿宋" w:eastAsia="仿宋" w:cs="Times New Roman"/>
          <w:sz w:val="30"/>
          <w:szCs w:val="30"/>
        </w:rPr>
        <w:t>家成员企业为亨通集团有限公司的关联体。</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（三）202</w:t>
      </w:r>
      <w:r>
        <w:rPr>
          <w:rFonts w:hint="eastAsia" w:ascii="仿宋" w:hAnsi="仿宋" w:eastAsia="仿宋" w:cs="Times New Roman"/>
          <w:sz w:val="30"/>
          <w:szCs w:val="30"/>
          <w:lang w:val="en-US" w:eastAsia="zh-CN"/>
        </w:rPr>
        <w:t>4</w:t>
      </w:r>
      <w:r>
        <w:rPr>
          <w:rFonts w:hint="eastAsia" w:ascii="仿宋" w:hAnsi="仿宋" w:eastAsia="仿宋" w:cs="Times New Roman"/>
          <w:sz w:val="30"/>
          <w:szCs w:val="30"/>
        </w:rPr>
        <w:t>年</w:t>
      </w:r>
      <w:r>
        <w:rPr>
          <w:rFonts w:hint="eastAsia" w:ascii="仿宋" w:hAnsi="仿宋" w:eastAsia="仿宋" w:cs="Times New Roman"/>
          <w:sz w:val="30"/>
          <w:szCs w:val="30"/>
          <w:lang w:eastAsia="zh-CN"/>
        </w:rPr>
        <w:t>二</w:t>
      </w:r>
      <w:r>
        <w:rPr>
          <w:rFonts w:hint="eastAsia" w:ascii="仿宋" w:hAnsi="仿宋" w:eastAsia="仿宋" w:cs="Times New Roman"/>
          <w:sz w:val="30"/>
          <w:szCs w:val="30"/>
        </w:rPr>
        <w:t>季度业务开展情况</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成员1：亨通集团有限公司</w:t>
      </w:r>
      <w:r>
        <w:rPr>
          <w:rFonts w:hint="eastAsia" w:ascii="仿宋" w:hAnsi="仿宋" w:eastAsia="仿宋" w:cs="Times New Roman"/>
          <w:sz w:val="30"/>
          <w:szCs w:val="30"/>
          <w:lang w:eastAsia="zh-CN"/>
        </w:rPr>
        <w:t>二</w:t>
      </w:r>
      <w:r>
        <w:rPr>
          <w:rFonts w:hint="eastAsia" w:ascii="仿宋" w:hAnsi="仿宋" w:eastAsia="仿宋" w:cs="Times New Roman"/>
          <w:sz w:val="30"/>
          <w:szCs w:val="30"/>
        </w:rPr>
        <w:t>季度末在本行授信敞口29000万元，低风险业务全额保证金银票12</w:t>
      </w:r>
      <w:r>
        <w:rPr>
          <w:rFonts w:hint="eastAsia" w:ascii="仿宋" w:hAnsi="仿宋" w:eastAsia="仿宋" w:cs="Times New Roman"/>
          <w:sz w:val="30"/>
          <w:szCs w:val="30"/>
          <w:lang w:val="en-US" w:eastAsia="zh-CN"/>
        </w:rPr>
        <w:t>0000</w:t>
      </w:r>
      <w:r>
        <w:rPr>
          <w:rFonts w:hint="eastAsia" w:ascii="仿宋" w:hAnsi="仿宋" w:eastAsia="仿宋" w:cs="Times New Roman"/>
          <w:sz w:val="30"/>
          <w:szCs w:val="30"/>
        </w:rPr>
        <w:t>万元，合计</w:t>
      </w:r>
      <w:r>
        <w:rPr>
          <w:rFonts w:hint="eastAsia" w:ascii="仿宋" w:hAnsi="仿宋" w:eastAsia="仿宋" w:cs="Times New Roman"/>
          <w:sz w:val="30"/>
          <w:szCs w:val="30"/>
          <w:lang w:val="en-US" w:eastAsia="zh-CN"/>
        </w:rPr>
        <w:t>149000</w:t>
      </w:r>
      <w:r>
        <w:rPr>
          <w:rFonts w:hint="eastAsia" w:ascii="仿宋" w:hAnsi="仿宋" w:eastAsia="仿宋" w:cs="Times New Roman"/>
          <w:sz w:val="30"/>
          <w:szCs w:val="30"/>
        </w:rPr>
        <w:t>万元</w:t>
      </w:r>
      <w:r>
        <w:rPr>
          <w:rFonts w:hint="eastAsia" w:ascii="仿宋" w:hAnsi="仿宋" w:eastAsia="仿宋" w:cs="Times New Roman"/>
          <w:sz w:val="30"/>
          <w:szCs w:val="30"/>
          <w:lang w:eastAsia="zh-CN"/>
        </w:rPr>
        <w:t>（预计额度不包括全额保证金业务）</w:t>
      </w:r>
      <w:r>
        <w:rPr>
          <w:rFonts w:hint="eastAsia" w:ascii="仿宋" w:hAnsi="仿宋" w:eastAsia="仿宋" w:cs="Times New Roman"/>
          <w:sz w:val="30"/>
          <w:szCs w:val="30"/>
        </w:rPr>
        <w:t>。截至目前已用信</w:t>
      </w:r>
      <w:r>
        <w:rPr>
          <w:rFonts w:hint="eastAsia" w:ascii="仿宋" w:hAnsi="仿宋" w:eastAsia="仿宋" w:cs="Times New Roman"/>
          <w:sz w:val="30"/>
          <w:szCs w:val="30"/>
          <w:lang w:val="en-US" w:eastAsia="zh-CN"/>
        </w:rPr>
        <w:t>38975</w:t>
      </w:r>
      <w:r>
        <w:rPr>
          <w:rFonts w:hint="eastAsia" w:ascii="仿宋" w:hAnsi="仿宋" w:eastAsia="仿宋" w:cs="Times New Roman"/>
          <w:sz w:val="30"/>
          <w:szCs w:val="30"/>
        </w:rPr>
        <w:t>万元，其中保证担保的流动资金贷款</w:t>
      </w:r>
      <w:r>
        <w:rPr>
          <w:rFonts w:hint="eastAsia" w:ascii="仿宋" w:hAnsi="仿宋" w:eastAsia="仿宋" w:cs="Times New Roman"/>
          <w:sz w:val="30"/>
          <w:szCs w:val="30"/>
          <w:lang w:val="en-US" w:eastAsia="zh-CN"/>
        </w:rPr>
        <w:t>13000</w:t>
      </w:r>
      <w:r>
        <w:rPr>
          <w:rFonts w:hint="eastAsia" w:ascii="仿宋" w:hAnsi="仿宋" w:eastAsia="仿宋" w:cs="Times New Roman"/>
          <w:sz w:val="30"/>
          <w:szCs w:val="30"/>
        </w:rPr>
        <w:t>万元，期限</w:t>
      </w:r>
      <w:r>
        <w:rPr>
          <w:rFonts w:hint="eastAsia" w:ascii="仿宋" w:hAnsi="仿宋" w:eastAsia="仿宋" w:cs="Times New Roman"/>
          <w:sz w:val="30"/>
          <w:szCs w:val="30"/>
          <w:lang w:val="en-US" w:eastAsia="zh-CN"/>
        </w:rPr>
        <w:t>2个月</w:t>
      </w:r>
      <w:r>
        <w:rPr>
          <w:rFonts w:hint="eastAsia" w:ascii="仿宋" w:hAnsi="仿宋" w:eastAsia="仿宋" w:cs="Times New Roman"/>
          <w:sz w:val="30"/>
          <w:szCs w:val="30"/>
        </w:rPr>
        <w:t>，利率</w:t>
      </w:r>
      <w:r>
        <w:rPr>
          <w:rFonts w:hint="eastAsia" w:ascii="仿宋" w:hAnsi="仿宋" w:eastAsia="仿宋" w:cs="Times New Roman"/>
          <w:sz w:val="30"/>
          <w:szCs w:val="30"/>
          <w:lang w:val="en-US" w:eastAsia="zh-CN"/>
        </w:rPr>
        <w:t>4.9</w:t>
      </w:r>
      <w:r>
        <w:rPr>
          <w:rFonts w:hint="eastAsia" w:ascii="仿宋" w:hAnsi="仿宋" w:eastAsia="仿宋" w:cs="Times New Roman"/>
          <w:sz w:val="30"/>
          <w:szCs w:val="30"/>
        </w:rPr>
        <w:t>%；保证担保的流动资金贷款</w:t>
      </w:r>
      <w:r>
        <w:rPr>
          <w:rFonts w:hint="eastAsia" w:ascii="仿宋" w:hAnsi="仿宋" w:eastAsia="仿宋" w:cs="Times New Roman"/>
          <w:sz w:val="30"/>
          <w:szCs w:val="30"/>
          <w:lang w:val="en-US" w:eastAsia="zh-CN"/>
        </w:rPr>
        <w:t>7200</w:t>
      </w:r>
      <w:r>
        <w:rPr>
          <w:rFonts w:hint="eastAsia" w:ascii="仿宋" w:hAnsi="仿宋" w:eastAsia="仿宋" w:cs="Times New Roman"/>
          <w:sz w:val="30"/>
          <w:szCs w:val="30"/>
        </w:rPr>
        <w:t>万元，期限</w:t>
      </w:r>
      <w:r>
        <w:rPr>
          <w:rFonts w:hint="eastAsia" w:ascii="仿宋" w:hAnsi="仿宋" w:eastAsia="仿宋" w:cs="Times New Roman"/>
          <w:sz w:val="30"/>
          <w:szCs w:val="30"/>
          <w:lang w:val="en-US" w:eastAsia="zh-CN"/>
        </w:rPr>
        <w:t>12个月</w:t>
      </w:r>
      <w:r>
        <w:rPr>
          <w:rFonts w:hint="eastAsia" w:ascii="仿宋" w:hAnsi="仿宋" w:eastAsia="仿宋" w:cs="Times New Roman"/>
          <w:sz w:val="30"/>
          <w:szCs w:val="30"/>
        </w:rPr>
        <w:t>，利率</w:t>
      </w:r>
      <w:r>
        <w:rPr>
          <w:rFonts w:hint="eastAsia" w:ascii="仿宋" w:hAnsi="仿宋" w:eastAsia="仿宋" w:cs="Times New Roman"/>
          <w:sz w:val="30"/>
          <w:szCs w:val="30"/>
          <w:lang w:val="en-US" w:eastAsia="zh-CN"/>
        </w:rPr>
        <w:t>4.01</w:t>
      </w:r>
      <w:r>
        <w:rPr>
          <w:rFonts w:hint="eastAsia" w:ascii="仿宋" w:hAnsi="仿宋" w:eastAsia="仿宋" w:cs="Times New Roman"/>
          <w:sz w:val="30"/>
          <w:szCs w:val="30"/>
        </w:rPr>
        <w:t>%；保证担保的银行承兑汇票敞口</w:t>
      </w:r>
      <w:r>
        <w:rPr>
          <w:rFonts w:hint="eastAsia" w:ascii="仿宋" w:hAnsi="仿宋" w:eastAsia="仿宋" w:cs="Times New Roman"/>
          <w:sz w:val="30"/>
          <w:szCs w:val="30"/>
          <w:lang w:val="en-US" w:eastAsia="zh-CN"/>
        </w:rPr>
        <w:t>8775</w:t>
      </w:r>
      <w:r>
        <w:rPr>
          <w:rFonts w:hint="eastAsia" w:ascii="仿宋" w:hAnsi="仿宋" w:eastAsia="仿宋" w:cs="Times New Roman"/>
          <w:sz w:val="30"/>
          <w:szCs w:val="30"/>
        </w:rPr>
        <w:t>万元，保证金比例2</w:t>
      </w:r>
      <w:r>
        <w:rPr>
          <w:rFonts w:hint="eastAsia" w:ascii="仿宋" w:hAnsi="仿宋" w:eastAsia="仿宋" w:cs="Times New Roman"/>
          <w:sz w:val="30"/>
          <w:szCs w:val="30"/>
          <w:lang w:val="en-US" w:eastAsia="zh-CN"/>
        </w:rPr>
        <w:t>5</w:t>
      </w:r>
      <w:r>
        <w:rPr>
          <w:rFonts w:hint="eastAsia" w:ascii="仿宋" w:hAnsi="仿宋" w:eastAsia="仿宋" w:cs="Times New Roman"/>
          <w:sz w:val="30"/>
          <w:szCs w:val="30"/>
        </w:rPr>
        <w:t>%，全额保证金银票10000万元。</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成员2：江苏亨芯石英科技有限公司</w:t>
      </w:r>
      <w:r>
        <w:rPr>
          <w:rFonts w:hint="eastAsia" w:ascii="仿宋" w:hAnsi="仿宋" w:eastAsia="仿宋" w:cs="Times New Roman"/>
          <w:sz w:val="30"/>
          <w:szCs w:val="30"/>
          <w:lang w:eastAsia="zh-CN"/>
        </w:rPr>
        <w:t>二季度</w:t>
      </w:r>
      <w:r>
        <w:rPr>
          <w:rFonts w:hint="eastAsia" w:ascii="仿宋" w:hAnsi="仿宋" w:eastAsia="仿宋" w:cs="Times New Roman"/>
          <w:sz w:val="30"/>
          <w:szCs w:val="30"/>
        </w:rPr>
        <w:t>末在本行授信敞口15000万元，全部为流动资金贷款额度。截至目前，已用信15000万元，其中保证担保的流动资金贷款15000万元，期限一年，利率4.</w:t>
      </w:r>
      <w:r>
        <w:rPr>
          <w:rFonts w:hint="eastAsia" w:ascii="仿宋" w:hAnsi="仿宋" w:eastAsia="仿宋" w:cs="Times New Roman"/>
          <w:sz w:val="30"/>
          <w:szCs w:val="30"/>
          <w:lang w:val="en-US" w:eastAsia="zh-CN"/>
        </w:rPr>
        <w:t>85</w:t>
      </w:r>
      <w:r>
        <w:rPr>
          <w:rFonts w:hint="eastAsia" w:ascii="仿宋" w:hAnsi="仿宋" w:eastAsia="仿宋" w:cs="Times New Roman"/>
          <w:sz w:val="30"/>
          <w:szCs w:val="30"/>
        </w:rPr>
        <w:t>%。</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成员3：苏商融资租赁有限公司</w:t>
      </w:r>
      <w:r>
        <w:rPr>
          <w:rFonts w:hint="eastAsia" w:ascii="仿宋" w:hAnsi="仿宋" w:eastAsia="仿宋" w:cs="Times New Roman"/>
          <w:sz w:val="30"/>
          <w:szCs w:val="30"/>
          <w:lang w:eastAsia="zh-CN"/>
        </w:rPr>
        <w:t>二季度</w:t>
      </w:r>
      <w:r>
        <w:rPr>
          <w:rFonts w:hint="eastAsia" w:ascii="仿宋" w:hAnsi="仿宋" w:eastAsia="仿宋" w:cs="Times New Roman"/>
          <w:sz w:val="30"/>
          <w:szCs w:val="30"/>
        </w:rPr>
        <w:t>末在本行授信敞口35000万元，全部为融资租赁保理额度。截至目前，已用信多笔保证担保融资租赁合计35000万元，最长用信期限不超过60个月，</w:t>
      </w:r>
      <w:r>
        <w:rPr>
          <w:rFonts w:hint="eastAsia" w:ascii="仿宋" w:hAnsi="仿宋" w:eastAsia="仿宋" w:cs="Times New Roman"/>
          <w:sz w:val="30"/>
          <w:szCs w:val="30"/>
          <w:lang w:eastAsia="zh-CN"/>
        </w:rPr>
        <w:t>其中4414万利率</w:t>
      </w:r>
      <w:r>
        <w:rPr>
          <w:rFonts w:hint="eastAsia" w:ascii="仿宋" w:hAnsi="仿宋" w:eastAsia="仿宋" w:cs="Times New Roman"/>
          <w:sz w:val="30"/>
          <w:szCs w:val="30"/>
          <w:lang w:val="en-US" w:eastAsia="zh-CN"/>
        </w:rPr>
        <w:t>6.5%，剩余30586万利率6</w:t>
      </w:r>
      <w:r>
        <w:rPr>
          <w:rFonts w:hint="eastAsia" w:ascii="仿宋" w:hAnsi="仿宋" w:eastAsia="仿宋" w:cs="Times New Roman"/>
          <w:sz w:val="30"/>
          <w:szCs w:val="30"/>
        </w:rPr>
        <w:t>%。</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成员4：亨通文旅发展有限公司</w:t>
      </w:r>
      <w:r>
        <w:rPr>
          <w:rFonts w:hint="eastAsia" w:ascii="仿宋" w:hAnsi="仿宋" w:eastAsia="仿宋" w:cs="Times New Roman"/>
          <w:sz w:val="30"/>
          <w:szCs w:val="30"/>
          <w:lang w:eastAsia="zh-CN"/>
        </w:rPr>
        <w:t>二季度</w:t>
      </w:r>
      <w:r>
        <w:rPr>
          <w:rFonts w:hint="eastAsia" w:ascii="仿宋" w:hAnsi="仿宋" w:eastAsia="仿宋" w:cs="Times New Roman"/>
          <w:sz w:val="30"/>
          <w:szCs w:val="30"/>
        </w:rPr>
        <w:t>末在本行授信敞口</w:t>
      </w:r>
      <w:r>
        <w:rPr>
          <w:rFonts w:hint="eastAsia" w:ascii="仿宋" w:hAnsi="仿宋" w:eastAsia="仿宋" w:cs="Times New Roman"/>
          <w:sz w:val="30"/>
          <w:szCs w:val="30"/>
          <w:lang w:val="en-US" w:eastAsia="zh-CN"/>
        </w:rPr>
        <w:t>9</w:t>
      </w:r>
      <w:r>
        <w:rPr>
          <w:rFonts w:hint="eastAsia" w:ascii="仿宋" w:hAnsi="仿宋" w:eastAsia="仿宋" w:cs="Times New Roman"/>
          <w:sz w:val="30"/>
          <w:szCs w:val="30"/>
        </w:rPr>
        <w:t>00万元，全部为银团贷款额度。截至目前，已用信700万元，其中保证担保的银团贷款</w:t>
      </w:r>
      <w:r>
        <w:rPr>
          <w:rFonts w:hint="eastAsia" w:ascii="仿宋" w:hAnsi="仿宋" w:eastAsia="仿宋" w:cs="Times New Roman"/>
          <w:sz w:val="30"/>
          <w:szCs w:val="30"/>
          <w:lang w:val="en-US" w:eastAsia="zh-CN"/>
        </w:rPr>
        <w:t>7</w:t>
      </w:r>
      <w:r>
        <w:rPr>
          <w:rFonts w:hint="eastAsia" w:ascii="仿宋" w:hAnsi="仿宋" w:eastAsia="仿宋" w:cs="Times New Roman"/>
          <w:sz w:val="30"/>
          <w:szCs w:val="30"/>
        </w:rPr>
        <w:t>00万元，期限119个月，利率4.9%。</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成员5：广德亨通铜业有限公司</w:t>
      </w:r>
      <w:r>
        <w:rPr>
          <w:rFonts w:hint="eastAsia" w:ascii="仿宋" w:hAnsi="仿宋" w:eastAsia="仿宋" w:cs="Times New Roman"/>
          <w:sz w:val="30"/>
          <w:szCs w:val="30"/>
          <w:lang w:eastAsia="zh-CN"/>
        </w:rPr>
        <w:t>二季度</w:t>
      </w:r>
      <w:r>
        <w:rPr>
          <w:rFonts w:hint="eastAsia" w:ascii="仿宋" w:hAnsi="仿宋" w:eastAsia="仿宋" w:cs="Times New Roman"/>
          <w:sz w:val="30"/>
          <w:szCs w:val="30"/>
        </w:rPr>
        <w:t>末在本行授信额度为银票贴现额度</w:t>
      </w:r>
      <w:r>
        <w:rPr>
          <w:rFonts w:hint="eastAsia" w:ascii="仿宋" w:hAnsi="仿宋" w:eastAsia="仿宋" w:cs="Times New Roman"/>
          <w:sz w:val="30"/>
          <w:szCs w:val="30"/>
          <w:lang w:val="en-US" w:eastAsia="zh-CN"/>
        </w:rPr>
        <w:t>10</w:t>
      </w:r>
      <w:r>
        <w:rPr>
          <w:rFonts w:hint="eastAsia" w:ascii="仿宋" w:hAnsi="仿宋" w:eastAsia="仿宋" w:cs="Times New Roman"/>
          <w:sz w:val="30"/>
          <w:szCs w:val="30"/>
        </w:rPr>
        <w:t>000万元。截至目前，已用信684.93 万元，均为贴现业务。</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成员6：江苏五一互联电子商务有限公司</w:t>
      </w:r>
      <w:r>
        <w:rPr>
          <w:rFonts w:hint="eastAsia" w:ascii="仿宋" w:hAnsi="仿宋" w:eastAsia="仿宋" w:cs="Times New Roman"/>
          <w:sz w:val="30"/>
          <w:szCs w:val="30"/>
          <w:lang w:eastAsia="zh-CN"/>
        </w:rPr>
        <w:t>二季度</w:t>
      </w:r>
      <w:r>
        <w:rPr>
          <w:rFonts w:hint="eastAsia" w:ascii="仿宋" w:hAnsi="仿宋" w:eastAsia="仿宋" w:cs="Times New Roman"/>
          <w:sz w:val="30"/>
          <w:szCs w:val="30"/>
        </w:rPr>
        <w:t>末在本行授信额度为全额保证金银票额度20000万元。截至目前，已用信</w:t>
      </w:r>
      <w:r>
        <w:rPr>
          <w:rFonts w:hint="eastAsia" w:ascii="仿宋" w:hAnsi="仿宋" w:eastAsia="仿宋" w:cs="Times New Roman"/>
          <w:sz w:val="30"/>
          <w:szCs w:val="30"/>
          <w:lang w:val="en-US" w:eastAsia="zh-CN"/>
        </w:rPr>
        <w:t>10000</w:t>
      </w:r>
      <w:r>
        <w:rPr>
          <w:rFonts w:hint="eastAsia" w:ascii="仿宋" w:hAnsi="仿宋" w:eastAsia="仿宋" w:cs="Times New Roman"/>
          <w:sz w:val="30"/>
          <w:szCs w:val="30"/>
        </w:rPr>
        <w:t>万元，均为</w:t>
      </w:r>
      <w:r>
        <w:rPr>
          <w:rFonts w:hint="eastAsia" w:ascii="仿宋" w:hAnsi="仿宋" w:eastAsia="仿宋" w:cs="Times New Roman"/>
          <w:sz w:val="30"/>
          <w:szCs w:val="30"/>
          <w:lang w:eastAsia="zh-CN"/>
        </w:rPr>
        <w:t>全额保证金银票</w:t>
      </w:r>
      <w:r>
        <w:rPr>
          <w:rFonts w:hint="eastAsia" w:ascii="仿宋" w:hAnsi="仿宋" w:eastAsia="仿宋" w:cs="Times New Roman"/>
          <w:sz w:val="30"/>
          <w:szCs w:val="30"/>
        </w:rPr>
        <w:t>。</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成员7：</w:t>
      </w:r>
      <w:r>
        <w:rPr>
          <w:rFonts w:hint="eastAsia" w:ascii="仿宋_GB2312" w:eastAsia="仿宋_GB2312"/>
          <w:sz w:val="30"/>
          <w:szCs w:val="30"/>
          <w:highlight w:val="none"/>
        </w:rPr>
        <w:t>江苏联芯通信技术有限公司</w:t>
      </w:r>
      <w:r>
        <w:rPr>
          <w:rFonts w:hint="eastAsia" w:ascii="仿宋" w:hAnsi="仿宋" w:eastAsia="仿宋" w:cs="Times New Roman"/>
          <w:sz w:val="30"/>
          <w:szCs w:val="30"/>
          <w:lang w:eastAsia="zh-CN"/>
        </w:rPr>
        <w:t>二季度</w:t>
      </w:r>
      <w:r>
        <w:rPr>
          <w:rFonts w:hint="eastAsia" w:ascii="仿宋" w:hAnsi="仿宋" w:eastAsia="仿宋" w:cs="Times New Roman"/>
          <w:sz w:val="30"/>
          <w:szCs w:val="30"/>
        </w:rPr>
        <w:t>末在本行授信额度为全额保证金银票额度</w:t>
      </w:r>
      <w:r>
        <w:rPr>
          <w:rFonts w:hint="eastAsia" w:ascii="仿宋" w:hAnsi="仿宋" w:eastAsia="仿宋" w:cs="Times New Roman"/>
          <w:sz w:val="30"/>
          <w:szCs w:val="30"/>
          <w:lang w:val="en-US" w:eastAsia="zh-CN"/>
        </w:rPr>
        <w:t>3</w:t>
      </w:r>
      <w:r>
        <w:rPr>
          <w:rFonts w:hint="eastAsia" w:ascii="仿宋" w:hAnsi="仿宋" w:eastAsia="仿宋" w:cs="Times New Roman"/>
          <w:sz w:val="30"/>
          <w:szCs w:val="30"/>
        </w:rPr>
        <w:t>0000万元。截至目前未用信。</w:t>
      </w:r>
    </w:p>
    <w:p>
      <w:pPr>
        <w:ind w:firstLine="600" w:firstLineChars="200"/>
        <w:jc w:val="left"/>
        <w:rPr>
          <w:rFonts w:ascii="仿宋_GB2312" w:hAnsi="Times New Roman" w:eastAsia="仿宋_GB2312" w:cs="Times New Roman"/>
          <w:sz w:val="30"/>
          <w:szCs w:val="30"/>
        </w:rPr>
      </w:pPr>
      <w:r>
        <w:rPr>
          <w:rFonts w:hint="eastAsia" w:ascii="仿宋" w:hAnsi="仿宋" w:eastAsia="仿宋" w:cs="Times New Roman"/>
          <w:sz w:val="30"/>
          <w:szCs w:val="30"/>
        </w:rPr>
        <w:t>根据编号202</w:t>
      </w:r>
      <w:r>
        <w:rPr>
          <w:rFonts w:hint="eastAsia" w:ascii="仿宋" w:hAnsi="仿宋" w:eastAsia="仿宋" w:cs="Times New Roman"/>
          <w:sz w:val="30"/>
          <w:szCs w:val="30"/>
          <w:lang w:val="en-US" w:eastAsia="zh-CN"/>
        </w:rPr>
        <w:t>4</w:t>
      </w:r>
      <w:r>
        <w:rPr>
          <w:rFonts w:hint="eastAsia" w:ascii="仿宋" w:hAnsi="仿宋" w:eastAsia="仿宋" w:cs="Times New Roman"/>
          <w:sz w:val="30"/>
          <w:szCs w:val="30"/>
        </w:rPr>
        <w:t>-01</w:t>
      </w:r>
      <w:r>
        <w:rPr>
          <w:rFonts w:hint="eastAsia" w:ascii="仿宋" w:hAnsi="仿宋" w:eastAsia="仿宋" w:cs="Times New Roman"/>
          <w:sz w:val="30"/>
          <w:szCs w:val="30"/>
          <w:lang w:val="en-US" w:eastAsia="zh-CN"/>
        </w:rPr>
        <w:t>1</w:t>
      </w:r>
      <w:r>
        <w:rPr>
          <w:rFonts w:hint="eastAsia" w:ascii="仿宋" w:hAnsi="仿宋" w:eastAsia="仿宋" w:cs="Times New Roman"/>
          <w:sz w:val="30"/>
          <w:szCs w:val="30"/>
        </w:rPr>
        <w:t>的《</w:t>
      </w:r>
      <w:r>
        <w:rPr>
          <w:rFonts w:ascii="仿宋" w:hAnsi="仿宋" w:eastAsia="仿宋" w:cs="Times New Roman"/>
          <w:sz w:val="30"/>
          <w:szCs w:val="30"/>
        </w:rPr>
        <w:t>江苏苏州农村商业银行股份有限公司关于部分关联方202</w:t>
      </w:r>
      <w:r>
        <w:rPr>
          <w:rFonts w:hint="eastAsia" w:ascii="仿宋" w:hAnsi="仿宋" w:eastAsia="仿宋" w:cs="Times New Roman"/>
          <w:sz w:val="30"/>
          <w:szCs w:val="30"/>
          <w:lang w:val="en-US" w:eastAsia="zh-CN"/>
        </w:rPr>
        <w:t>4</w:t>
      </w:r>
      <w:r>
        <w:rPr>
          <w:rFonts w:ascii="仿宋" w:hAnsi="仿宋" w:eastAsia="仿宋" w:cs="Times New Roman"/>
          <w:sz w:val="30"/>
          <w:szCs w:val="30"/>
        </w:rPr>
        <w:t>年度日常关联交易预计额度的公告</w:t>
      </w:r>
      <w:r>
        <w:rPr>
          <w:rFonts w:hint="eastAsia" w:ascii="仿宋" w:hAnsi="仿宋" w:eastAsia="仿宋" w:cs="Times New Roman"/>
          <w:sz w:val="30"/>
          <w:szCs w:val="30"/>
        </w:rPr>
        <w:t>》：“亨通集团有限公司关联集团最高不超过12亿元，其中单个关联方最高不超过6亿元（口径为敞口授信额度与低风险额度（不含全额保证金业务）加总）”。根据口径要求，目前亨通集团及其关联体总授信合计79800万元，其他低风险全额保证银票额度</w:t>
      </w:r>
      <w:r>
        <w:rPr>
          <w:rFonts w:hint="eastAsia" w:ascii="仿宋" w:hAnsi="仿宋" w:eastAsia="仿宋" w:cs="Times New Roman"/>
          <w:sz w:val="30"/>
          <w:szCs w:val="30"/>
          <w:lang w:val="en-US" w:eastAsia="zh-CN"/>
        </w:rPr>
        <w:t>140</w:t>
      </w:r>
      <w:r>
        <w:rPr>
          <w:rFonts w:hint="eastAsia" w:ascii="仿宋" w:hAnsi="仿宋" w:eastAsia="仿宋" w:cs="Times New Roman"/>
          <w:sz w:val="30"/>
          <w:szCs w:val="30"/>
        </w:rPr>
        <w:t>000万元</w:t>
      </w:r>
      <w:r>
        <w:rPr>
          <w:rFonts w:hint="eastAsia" w:ascii="仿宋" w:hAnsi="仿宋" w:eastAsia="仿宋" w:cs="Times New Roman"/>
          <w:sz w:val="30"/>
          <w:szCs w:val="30"/>
          <w:lang w:eastAsia="zh-CN"/>
        </w:rPr>
        <w:t>，贴现额度</w:t>
      </w:r>
      <w:r>
        <w:rPr>
          <w:rFonts w:hint="eastAsia" w:ascii="仿宋" w:hAnsi="仿宋" w:eastAsia="仿宋" w:cs="Times New Roman"/>
          <w:sz w:val="30"/>
          <w:szCs w:val="30"/>
          <w:lang w:val="en-US" w:eastAsia="zh-CN"/>
        </w:rPr>
        <w:t>10000万元</w:t>
      </w:r>
      <w:r>
        <w:rPr>
          <w:rFonts w:hint="eastAsia" w:ascii="仿宋" w:hAnsi="仿宋" w:eastAsia="仿宋" w:cs="Times New Roman"/>
          <w:sz w:val="30"/>
          <w:szCs w:val="30"/>
        </w:rPr>
        <w:t>。其中，</w:t>
      </w:r>
      <w:r>
        <w:rPr>
          <w:rFonts w:hint="eastAsia" w:ascii="仿宋" w:hAnsi="仿宋" w:eastAsia="仿宋" w:cs="Times New Roman"/>
          <w:sz w:val="30"/>
          <w:szCs w:val="30"/>
          <w:lang w:eastAsia="zh-CN"/>
        </w:rPr>
        <w:t>二季度</w:t>
      </w:r>
      <w:r>
        <w:rPr>
          <w:rFonts w:hint="eastAsia" w:ascii="仿宋" w:hAnsi="仿宋" w:eastAsia="仿宋" w:cs="Times New Roman"/>
          <w:sz w:val="30"/>
          <w:szCs w:val="30"/>
        </w:rPr>
        <w:t>增加了成员7</w:t>
      </w:r>
      <w:r>
        <w:rPr>
          <w:rFonts w:hint="eastAsia" w:ascii="仿宋_GB2312" w:eastAsia="仿宋_GB2312"/>
          <w:sz w:val="30"/>
          <w:szCs w:val="30"/>
          <w:highlight w:val="none"/>
        </w:rPr>
        <w:t>江苏联芯通信技术有限公司</w:t>
      </w:r>
      <w:r>
        <w:rPr>
          <w:rFonts w:hint="eastAsia" w:ascii="仿宋" w:hAnsi="仿宋" w:eastAsia="仿宋" w:cs="Times New Roman"/>
          <w:sz w:val="30"/>
          <w:szCs w:val="30"/>
        </w:rPr>
        <w:t>全额保证金银票业务，该业务额度不属于预计额度口径，构成一般关联交易，经本行内部授权程序审批后，报风险管理及关联交易控制委员会备案。</w:t>
      </w:r>
      <w:r>
        <w:rPr>
          <w:rFonts w:hint="eastAsia" w:ascii="仿宋_GB2312" w:hAnsi="Times New Roman" w:eastAsia="仿宋_GB2312" w:cs="Times New Roman"/>
          <w:sz w:val="30"/>
          <w:szCs w:val="30"/>
        </w:rPr>
        <w:t xml:space="preserve"> </w:t>
      </w:r>
    </w:p>
    <w:p>
      <w:pPr>
        <w:tabs>
          <w:tab w:val="left" w:pos="0"/>
        </w:tabs>
        <w:ind w:firstLine="600" w:firstLineChars="200"/>
        <w:rPr>
          <w:rFonts w:ascii="仿宋_GB2312"/>
          <w:sz w:val="30"/>
          <w:szCs w:val="30"/>
        </w:rPr>
      </w:pPr>
      <w:r>
        <w:rPr>
          <w:rFonts w:hint="eastAsia" w:ascii="黑体" w:hAnsi="黑体" w:eastAsia="黑体"/>
          <w:sz w:val="30"/>
          <w:szCs w:val="30"/>
        </w:rPr>
        <w:t>二、关联交易定价情况</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报告期内，本行与关联方的关联交易坚持遵循一般商业条款和正常业务程序进行，其定价原则与独立第三方交易一致，即以不优于对非关联方同类交易的条件进行,不存在给其他股东合法利益造成损害的情形，具备合法性与公允性。</w:t>
      </w:r>
    </w:p>
    <w:p>
      <w:pPr>
        <w:jc w:val="right"/>
        <w:rPr>
          <w:rFonts w:ascii="仿宋_GB2312" w:hAnsi="Times New Roman" w:eastAsia="仿宋_GB2312" w:cs="Times New Roman"/>
          <w:sz w:val="30"/>
          <w:szCs w:val="30"/>
        </w:rPr>
      </w:pPr>
      <w:bookmarkStart w:id="0" w:name="_GoBack"/>
      <w:bookmarkEnd w:id="0"/>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ËÎÌå">
    <w:altName w:val="Arial"/>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FWCQV+ËÎÌå">
    <w:altName w:val="微软雅黑"/>
    <w:panose1 w:val="00000000000000000000"/>
    <w:charset w:val="01"/>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263128"/>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D4C3EF"/>
    <w:multiLevelType w:val="singleLevel"/>
    <w:tmpl w:val="C6D4C3E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zZDY3YjE0ZDg5NzUxYWVkY2ZmNzkxMzQwZmFjMDUifQ=="/>
  </w:docVars>
  <w:rsids>
    <w:rsidRoot w:val="00172A27"/>
    <w:rsid w:val="000212CF"/>
    <w:rsid w:val="00022A2F"/>
    <w:rsid w:val="000339E8"/>
    <w:rsid w:val="000370F8"/>
    <w:rsid w:val="00044721"/>
    <w:rsid w:val="000556D4"/>
    <w:rsid w:val="00063CDB"/>
    <w:rsid w:val="00072CB5"/>
    <w:rsid w:val="000769F6"/>
    <w:rsid w:val="00077745"/>
    <w:rsid w:val="00087A06"/>
    <w:rsid w:val="000A1D90"/>
    <w:rsid w:val="000A4D41"/>
    <w:rsid w:val="000D38F0"/>
    <w:rsid w:val="000E0415"/>
    <w:rsid w:val="0010058D"/>
    <w:rsid w:val="00105E18"/>
    <w:rsid w:val="001222E9"/>
    <w:rsid w:val="001251A1"/>
    <w:rsid w:val="00143342"/>
    <w:rsid w:val="00147A0B"/>
    <w:rsid w:val="00160481"/>
    <w:rsid w:val="00171F3A"/>
    <w:rsid w:val="00172A27"/>
    <w:rsid w:val="00181FDF"/>
    <w:rsid w:val="001918E3"/>
    <w:rsid w:val="001937C4"/>
    <w:rsid w:val="001A7805"/>
    <w:rsid w:val="001B1C3B"/>
    <w:rsid w:val="001B25CA"/>
    <w:rsid w:val="001B2BBA"/>
    <w:rsid w:val="001D3DA2"/>
    <w:rsid w:val="002048FD"/>
    <w:rsid w:val="00207286"/>
    <w:rsid w:val="00214713"/>
    <w:rsid w:val="00227269"/>
    <w:rsid w:val="00227643"/>
    <w:rsid w:val="002359D5"/>
    <w:rsid w:val="00237707"/>
    <w:rsid w:val="00246EE2"/>
    <w:rsid w:val="00252697"/>
    <w:rsid w:val="0026127D"/>
    <w:rsid w:val="00265750"/>
    <w:rsid w:val="00294788"/>
    <w:rsid w:val="002D3B59"/>
    <w:rsid w:val="002F4DAB"/>
    <w:rsid w:val="00325DAC"/>
    <w:rsid w:val="003306CA"/>
    <w:rsid w:val="00332956"/>
    <w:rsid w:val="00335315"/>
    <w:rsid w:val="00343126"/>
    <w:rsid w:val="003A383A"/>
    <w:rsid w:val="003A6251"/>
    <w:rsid w:val="003B0B28"/>
    <w:rsid w:val="003D0875"/>
    <w:rsid w:val="00412035"/>
    <w:rsid w:val="00427E6B"/>
    <w:rsid w:val="004435C2"/>
    <w:rsid w:val="00457B94"/>
    <w:rsid w:val="004620E3"/>
    <w:rsid w:val="00464071"/>
    <w:rsid w:val="0048481F"/>
    <w:rsid w:val="00497A3A"/>
    <w:rsid w:val="004A3F30"/>
    <w:rsid w:val="004A5EFB"/>
    <w:rsid w:val="004B3BA5"/>
    <w:rsid w:val="004E4352"/>
    <w:rsid w:val="005318F9"/>
    <w:rsid w:val="005403F2"/>
    <w:rsid w:val="00545F13"/>
    <w:rsid w:val="00550A86"/>
    <w:rsid w:val="005719DE"/>
    <w:rsid w:val="0058218B"/>
    <w:rsid w:val="0058372B"/>
    <w:rsid w:val="00583EC0"/>
    <w:rsid w:val="00584DD4"/>
    <w:rsid w:val="005B1E70"/>
    <w:rsid w:val="005B4FF1"/>
    <w:rsid w:val="005F63F1"/>
    <w:rsid w:val="0060151D"/>
    <w:rsid w:val="006059FA"/>
    <w:rsid w:val="00605D51"/>
    <w:rsid w:val="006A4888"/>
    <w:rsid w:val="006B5447"/>
    <w:rsid w:val="006C318A"/>
    <w:rsid w:val="006F3ABA"/>
    <w:rsid w:val="00702C4D"/>
    <w:rsid w:val="00714410"/>
    <w:rsid w:val="007175D7"/>
    <w:rsid w:val="007225D5"/>
    <w:rsid w:val="00782273"/>
    <w:rsid w:val="0079107C"/>
    <w:rsid w:val="007963A2"/>
    <w:rsid w:val="007A5B7A"/>
    <w:rsid w:val="007B6BC3"/>
    <w:rsid w:val="007C1497"/>
    <w:rsid w:val="007D7BD2"/>
    <w:rsid w:val="007F2B7B"/>
    <w:rsid w:val="007F4CED"/>
    <w:rsid w:val="0080651B"/>
    <w:rsid w:val="00814FB2"/>
    <w:rsid w:val="00864247"/>
    <w:rsid w:val="0087115C"/>
    <w:rsid w:val="008A034A"/>
    <w:rsid w:val="008A0CC1"/>
    <w:rsid w:val="008C53F0"/>
    <w:rsid w:val="008E476A"/>
    <w:rsid w:val="008E6596"/>
    <w:rsid w:val="008E71C4"/>
    <w:rsid w:val="00907EAE"/>
    <w:rsid w:val="0092535E"/>
    <w:rsid w:val="00934224"/>
    <w:rsid w:val="00936AAD"/>
    <w:rsid w:val="00951D89"/>
    <w:rsid w:val="009B186B"/>
    <w:rsid w:val="009D6C2A"/>
    <w:rsid w:val="009E3160"/>
    <w:rsid w:val="00A05A7F"/>
    <w:rsid w:val="00A41994"/>
    <w:rsid w:val="00A5288B"/>
    <w:rsid w:val="00A9027D"/>
    <w:rsid w:val="00AB6513"/>
    <w:rsid w:val="00AF340B"/>
    <w:rsid w:val="00B10C17"/>
    <w:rsid w:val="00B17B11"/>
    <w:rsid w:val="00B26518"/>
    <w:rsid w:val="00B34DF1"/>
    <w:rsid w:val="00B40B93"/>
    <w:rsid w:val="00B70038"/>
    <w:rsid w:val="00B714AF"/>
    <w:rsid w:val="00B90402"/>
    <w:rsid w:val="00BA65B1"/>
    <w:rsid w:val="00BE2279"/>
    <w:rsid w:val="00BE5C80"/>
    <w:rsid w:val="00C03D23"/>
    <w:rsid w:val="00C54B0B"/>
    <w:rsid w:val="00C57197"/>
    <w:rsid w:val="00C605FA"/>
    <w:rsid w:val="00C629A8"/>
    <w:rsid w:val="00C70B4B"/>
    <w:rsid w:val="00C757E9"/>
    <w:rsid w:val="00C87121"/>
    <w:rsid w:val="00C93DEC"/>
    <w:rsid w:val="00C94118"/>
    <w:rsid w:val="00CE7A83"/>
    <w:rsid w:val="00D07E70"/>
    <w:rsid w:val="00D12175"/>
    <w:rsid w:val="00D174E8"/>
    <w:rsid w:val="00D538BE"/>
    <w:rsid w:val="00DA1ACE"/>
    <w:rsid w:val="00DA267C"/>
    <w:rsid w:val="00DB7293"/>
    <w:rsid w:val="00DD0A15"/>
    <w:rsid w:val="00DD2A6F"/>
    <w:rsid w:val="00DD48E7"/>
    <w:rsid w:val="00DF0284"/>
    <w:rsid w:val="00DF4993"/>
    <w:rsid w:val="00E010B3"/>
    <w:rsid w:val="00E07785"/>
    <w:rsid w:val="00E102BD"/>
    <w:rsid w:val="00E310ED"/>
    <w:rsid w:val="00E31F80"/>
    <w:rsid w:val="00E87641"/>
    <w:rsid w:val="00EA0794"/>
    <w:rsid w:val="00EA3E5A"/>
    <w:rsid w:val="00EC2C1D"/>
    <w:rsid w:val="00EF5EF4"/>
    <w:rsid w:val="00F15D19"/>
    <w:rsid w:val="00F24C71"/>
    <w:rsid w:val="00F53212"/>
    <w:rsid w:val="00F54150"/>
    <w:rsid w:val="00F61DE2"/>
    <w:rsid w:val="00F87155"/>
    <w:rsid w:val="00FA1435"/>
    <w:rsid w:val="00FC2F40"/>
    <w:rsid w:val="00FC64B7"/>
    <w:rsid w:val="00FE5CB4"/>
    <w:rsid w:val="029A40C6"/>
    <w:rsid w:val="0B0D71C4"/>
    <w:rsid w:val="0E244217"/>
    <w:rsid w:val="11762040"/>
    <w:rsid w:val="14463B51"/>
    <w:rsid w:val="14B0348F"/>
    <w:rsid w:val="15E95372"/>
    <w:rsid w:val="192E2A56"/>
    <w:rsid w:val="1AF407C5"/>
    <w:rsid w:val="1C5B5A42"/>
    <w:rsid w:val="1E5B25A7"/>
    <w:rsid w:val="20B639B4"/>
    <w:rsid w:val="229B7EEE"/>
    <w:rsid w:val="24E0414B"/>
    <w:rsid w:val="2A68535D"/>
    <w:rsid w:val="2EC6373F"/>
    <w:rsid w:val="2FB949C2"/>
    <w:rsid w:val="2FE45D93"/>
    <w:rsid w:val="31F0038D"/>
    <w:rsid w:val="32001489"/>
    <w:rsid w:val="32884A32"/>
    <w:rsid w:val="37034A40"/>
    <w:rsid w:val="3A0E28F7"/>
    <w:rsid w:val="3A300645"/>
    <w:rsid w:val="3AD108AB"/>
    <w:rsid w:val="3D3A7DD6"/>
    <w:rsid w:val="401B1099"/>
    <w:rsid w:val="407821C8"/>
    <w:rsid w:val="43A4559E"/>
    <w:rsid w:val="44C8410B"/>
    <w:rsid w:val="47B63937"/>
    <w:rsid w:val="48982C37"/>
    <w:rsid w:val="4E2845F9"/>
    <w:rsid w:val="4ECF7A34"/>
    <w:rsid w:val="4FB305E1"/>
    <w:rsid w:val="4FC70EC6"/>
    <w:rsid w:val="50F046D2"/>
    <w:rsid w:val="51045930"/>
    <w:rsid w:val="5293115E"/>
    <w:rsid w:val="55DD1417"/>
    <w:rsid w:val="5681790E"/>
    <w:rsid w:val="5C647DBF"/>
    <w:rsid w:val="5E192817"/>
    <w:rsid w:val="5EE2559B"/>
    <w:rsid w:val="5F5824A2"/>
    <w:rsid w:val="610645A9"/>
    <w:rsid w:val="627A5B68"/>
    <w:rsid w:val="65AE59FE"/>
    <w:rsid w:val="685E059B"/>
    <w:rsid w:val="6BE32536"/>
    <w:rsid w:val="6C4F005E"/>
    <w:rsid w:val="6DBF338C"/>
    <w:rsid w:val="6ECE59EF"/>
    <w:rsid w:val="6EDA111B"/>
    <w:rsid w:val="6F8963E7"/>
    <w:rsid w:val="70271E35"/>
    <w:rsid w:val="71B520AB"/>
    <w:rsid w:val="73BD310E"/>
    <w:rsid w:val="74774A88"/>
    <w:rsid w:val="7894053C"/>
    <w:rsid w:val="7AE67630"/>
    <w:rsid w:val="7B200F90"/>
    <w:rsid w:val="7E1748FF"/>
    <w:rsid w:val="7FAB0989"/>
    <w:rsid w:val="7FF54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Emphasis"/>
    <w:basedOn w:val="8"/>
    <w:qFormat/>
    <w:uiPriority w:val="20"/>
    <w:rPr>
      <w:i/>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customStyle="1" w:styleId="13">
    <w:name w:val="Default"/>
    <w:qFormat/>
    <w:uiPriority w:val="0"/>
    <w:pPr>
      <w:widowControl w:val="0"/>
      <w:autoSpaceDE w:val="0"/>
      <w:autoSpaceDN w:val="0"/>
      <w:adjustRightInd w:val="0"/>
    </w:pPr>
    <w:rPr>
      <w:rFonts w:ascii="ËÎÌå" w:hAnsi="ËÎÌå" w:eastAsia="宋体" w:cs="ËÎÌå"/>
      <w:lang w:val="en-US" w:eastAsia="zh-CN" w:bidi="ar-SA"/>
    </w:rPr>
  </w:style>
  <w:style w:type="character" w:customStyle="1" w:styleId="14">
    <w:name w:val="批注文字 字符"/>
    <w:basedOn w:val="8"/>
    <w:link w:val="2"/>
    <w:semiHidden/>
    <w:qFormat/>
    <w:uiPriority w:val="99"/>
  </w:style>
  <w:style w:type="character" w:customStyle="1" w:styleId="15">
    <w:name w:val="批注主题 字符"/>
    <w:basedOn w:val="14"/>
    <w:link w:val="6"/>
    <w:semiHidden/>
    <w:qFormat/>
    <w:uiPriority w:val="99"/>
    <w:rPr>
      <w:b/>
      <w:bCs/>
    </w:rPr>
  </w:style>
  <w:style w:type="character" w:customStyle="1" w:styleId="16">
    <w:name w:val="批注框文本 字符"/>
    <w:basedOn w:val="8"/>
    <w:link w:val="3"/>
    <w:semiHidden/>
    <w:qFormat/>
    <w:uiPriority w:val="99"/>
    <w:rPr>
      <w:sz w:val="18"/>
      <w:szCs w:val="18"/>
    </w:rPr>
  </w:style>
  <w:style w:type="paragraph" w:customStyle="1" w:styleId="17">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643</Words>
  <Characters>3670</Characters>
  <Lines>30</Lines>
  <Paragraphs>8</Paragraphs>
  <TotalTime>2</TotalTime>
  <ScaleCrop>false</ScaleCrop>
  <LinksUpToDate>false</LinksUpToDate>
  <CharactersWithSpaces>4305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2022-08-03T08:55:00Z</dcterms:created>
  <dc:creator>user</dc:creator>
  <cp:lastModifiedBy>任翀</cp:lastModifiedBy>
  <cp:lastPrinted>2019-04-17T15:37:00Z</cp:lastPrinted>
  <dcterms:modified xsi:type="dcterms:W3CDTF">2024-08-01T00:11:54Z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F74960512C8E4772B70FAABB56FE0D40_13</vt:lpwstr>
  </property>
</Properties>
</file>