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苏州农商银行</w:t>
      </w:r>
      <w:bookmarkStart w:id="0" w:name="_GoBack"/>
      <w:bookmarkEnd w:id="0"/>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2024年第三季度第三支柱信息披露报告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本行为非国内系统重要性银行，根据《商业银行资本管理办法》（以下简称“办法”）附件22《商业银行信息披露内容和要求》的规定，本行按照办法第三章规定的并表范围披露相关信息。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902"/>
        <w:gridCol w:w="1992"/>
        <w:gridCol w:w="1"/>
        <w:gridCol w:w="19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9" w:type="dxa"/>
            <w:gridSpan w:val="2"/>
            <w:vMerge w:val="restart"/>
            <w:tcBorders>
              <w:top w:val="single" w:color="000000" w:sz="4" w:space="0"/>
              <w:left w:val="single" w:color="000000"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1992" w:type="dxa"/>
            <w:tcBorders>
              <w:top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1991" w:type="dxa"/>
            <w:gridSpan w:val="2"/>
            <w:tcBorders>
              <w:top w:val="single" w:color="000000" w:sz="4" w:space="0"/>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9" w:type="dxa"/>
            <w:gridSpan w:val="2"/>
            <w:vMerge w:val="continue"/>
            <w:tcBorders>
              <w:left w:val="single" w:color="000000"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1992" w:type="dxa"/>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2024年9月30日</w:t>
            </w:r>
          </w:p>
        </w:tc>
        <w:tc>
          <w:tcPr>
            <w:tcW w:w="1991" w:type="dxa"/>
            <w:gridSpan w:val="2"/>
            <w:tcBorders>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2024年6月30日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32" w:type="dxa"/>
            <w:gridSpan w:val="4"/>
            <w:tcBorders>
              <w:left w:val="single" w:color="000000" w:sz="4" w:space="0"/>
            </w:tcBorders>
            <w:shd w:val="clear" w:color="000000" w:fill="D9D9D9"/>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b/>
                <w:bCs/>
                <w:color w:val="000000" w:themeColor="text1"/>
                <w:sz w:val="24"/>
                <w:szCs w:val="24"/>
                <w14:textFill>
                  <w14:solidFill>
                    <w14:schemeClr w14:val="tx1"/>
                  </w14:solidFill>
                </w14:textFill>
              </w:rPr>
              <w:t>可用资本（</w:t>
            </w:r>
            <w:r>
              <w:rPr>
                <w:rFonts w:hint="eastAsia" w:ascii="仿宋_GB2312" w:hAnsi="仿宋" w:eastAsia="仿宋_GB2312" w:cs="Arial Unicode MS"/>
                <w:b/>
                <w:bCs/>
                <w:color w:val="000000" w:themeColor="text1"/>
                <w:sz w:val="24"/>
                <w:szCs w:val="24"/>
                <w:lang w:eastAsia="zh-CN"/>
                <w14:textFill>
                  <w14:solidFill>
                    <w14:schemeClr w14:val="tx1"/>
                  </w14:solidFill>
                </w14:textFill>
              </w:rPr>
              <w:t>数</w:t>
            </w:r>
            <w:r>
              <w:rPr>
                <w:rFonts w:hint="eastAsia" w:ascii="仿宋_GB2312" w:hAnsi="仿宋" w:eastAsia="仿宋_GB2312" w:cs="Arial Unicode MS"/>
                <w:b/>
                <w:bCs/>
                <w:color w:val="000000" w:themeColor="text1"/>
                <w:sz w:val="24"/>
                <w:szCs w:val="24"/>
                <w14:textFill>
                  <w14:solidFill>
                    <w14:schemeClr w14:val="tx1"/>
                  </w14:solidFill>
                </w14:textFill>
              </w:rPr>
              <w:t>额）</w:t>
            </w:r>
          </w:p>
        </w:tc>
        <w:tc>
          <w:tcPr>
            <w:tcW w:w="1990" w:type="dxa"/>
            <w:tcBorders>
              <w:right w:val="single" w:color="000000" w:sz="4" w:space="0"/>
            </w:tcBorders>
            <w:shd w:val="clear" w:color="000000" w:fill="D9D9D9"/>
          </w:tcPr>
          <w:p>
            <w:pPr>
              <w:snapToGrid w:val="0"/>
              <w:spacing w:line="480" w:lineRule="exact"/>
              <w:rPr>
                <w:rFonts w:hint="eastAsia" w:ascii="仿宋_GB2312" w:hAnsi="仿宋" w:eastAsia="仿宋_GB2312" w:cs="Arial Unicode MS"/>
                <w:b/>
                <w:bCs/>
                <w:color w:val="000000" w:themeColor="text1"/>
                <w:sz w:val="24"/>
                <w:szCs w:val="24"/>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核心一级资本净额</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16188273</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15551854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16188716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15552310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3</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19444091</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19082103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4</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风险加权资产</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151887659</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157082744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核心一级资本充足率（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6</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7</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12.80</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8</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储备资本要求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9</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逆周期资本要求（</w:t>
            </w:r>
            <w:r>
              <w:rPr>
                <w:rFonts w:ascii="仿宋_GB2312" w:hAnsi="仿宋" w:eastAsia="仿宋_GB2312" w:cs="Arial Unicode MS"/>
                <w:color w:val="000000" w:themeColor="text1"/>
                <w:sz w:val="24"/>
                <w:szCs w:val="24"/>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37" w:type="dxa"/>
            <w:tcBorders>
              <w:left w:val="single" w:color="000000"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10</w:t>
            </w:r>
          </w:p>
        </w:tc>
        <w:tc>
          <w:tcPr>
            <w:tcW w:w="3902" w:type="dxa"/>
            <w:shd w:val="clear" w:color="auto" w:fill="auto"/>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shd w:val="clear" w:color="auto" w:fill="BEBEBE"/>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1990" w:type="dxa"/>
            <w:tcBorders>
              <w:right w:val="single" w:color="000000" w:sz="4" w:space="0"/>
            </w:tcBorders>
            <w:shd w:val="clear" w:color="auto" w:fill="BEBEBE"/>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11</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其他各级资本要求（</w:t>
            </w:r>
            <w:r>
              <w:rPr>
                <w:rFonts w:ascii="仿宋_GB2312" w:hAnsi="仿宋" w:eastAsia="仿宋_GB2312" w:cs="Arial Unicode MS"/>
                <w:color w:val="000000" w:themeColor="text1"/>
                <w:sz w:val="24"/>
                <w:szCs w:val="24"/>
                <w:lang w:eastAsia="zh-CN"/>
                <w14:textFill>
                  <w14:solidFill>
                    <w14:schemeClr w14:val="tx1"/>
                  </w14:solidFill>
                </w14:textFill>
              </w:rPr>
              <w:t>%）（8+9+10）</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12</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5.66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13</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调整后表内外资产余额</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242653277</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251318452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14</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6.67</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1</w:t>
            </w:r>
            <w:r>
              <w:rPr>
                <w:rFonts w:ascii="仿宋_GB2312" w:hAnsi="仿宋" w:eastAsia="仿宋_GB2312" w:cs="Arial Unicode MS"/>
                <w:color w:val="000000" w:themeColor="text1"/>
                <w:sz w:val="24"/>
                <w:szCs w:val="24"/>
                <w:lang w:eastAsia="zh-CN"/>
                <w14:textFill>
                  <w14:solidFill>
                    <w14:schemeClr w14:val="tx1"/>
                  </w14:solidFill>
                </w14:textFill>
              </w:rPr>
              <w:t>4</w:t>
            </w:r>
            <w:r>
              <w:rPr>
                <w:rFonts w:hint="eastAsia" w:ascii="仿宋_GB2312" w:hAnsi="仿宋" w:eastAsia="仿宋_GB2312" w:cs="Arial Unicode MS"/>
                <w:color w:val="000000" w:themeColor="text1"/>
                <w:sz w:val="24"/>
                <w:szCs w:val="24"/>
                <w:lang w:eastAsia="zh-CN"/>
                <w14:textFill>
                  <w14:solidFill>
                    <w14:schemeClr w14:val="tx1"/>
                  </w14:solidFill>
                </w14:textFill>
              </w:rPr>
              <w:t>a</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杠杆率a</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6.67</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15</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合格优质流动性资产</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21990886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29554204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16</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现金净流出</w:t>
            </w:r>
            <w:r>
              <w:rPr>
                <w:rFonts w:hint="eastAsia" w:ascii="仿宋_GB2312" w:hAnsi="仿宋" w:eastAsia="仿宋_GB2312" w:cs="Arial Unicode MS"/>
                <w:color w:val="000000" w:themeColor="text1"/>
                <w:sz w:val="24"/>
                <w:szCs w:val="24"/>
                <w:lang w:eastAsia="zh-CN"/>
                <w14:textFill>
                  <w14:solidFill>
                    <w14:schemeClr w14:val="tx1"/>
                  </w14:solidFill>
                </w14:textFill>
              </w:rPr>
              <w:t>量</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16831392</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21632054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17</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流动性覆盖率（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130.65</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136.62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000000" w:fill="D9D9D9"/>
            <w:vAlign w:val="center"/>
          </w:tcPr>
          <w:p>
            <w:pPr>
              <w:jc w:val="right"/>
              <w:rPr>
                <w:rFonts w:hint="default" w:ascii="Arial" w:hAnsi="Arial" w:cs="Arial"/>
                <w:sz w:val="24"/>
                <w:szCs w:val="24"/>
              </w:rPr>
            </w:pPr>
          </w:p>
        </w:tc>
        <w:tc>
          <w:tcPr>
            <w:tcW w:w="1990" w:type="dxa"/>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18</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可用稳定资金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154966562</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155861598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19</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所需</w:t>
            </w:r>
            <w:r>
              <w:rPr>
                <w:rFonts w:hint="eastAsia" w:ascii="仿宋_GB2312" w:hAnsi="仿宋" w:eastAsia="仿宋_GB2312" w:cs="Arial Unicode MS"/>
                <w:color w:val="000000" w:themeColor="text1"/>
                <w:sz w:val="24"/>
                <w:szCs w:val="24"/>
                <w14:textFill>
                  <w14:solidFill>
                    <w14:schemeClr w14:val="tx1"/>
                  </w14:solidFill>
                </w14:textFill>
              </w:rPr>
              <w:t>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92262869</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96253488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20</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净稳定资金比例（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167.96</w:t>
            </w:r>
          </w:p>
        </w:tc>
        <w:tc>
          <w:tcPr>
            <w:tcW w:w="1990" w:type="dxa"/>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161.93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auto" w:fill="D8D8D8"/>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3" w:type="dxa"/>
            <w:gridSpan w:val="2"/>
            <w:shd w:val="clear" w:color="auto" w:fill="D8D8D8"/>
            <w:vAlign w:val="center"/>
          </w:tcPr>
          <w:p>
            <w:pPr>
              <w:jc w:val="right"/>
              <w:rPr>
                <w:rFonts w:hint="default" w:ascii="Arial" w:hAnsi="Arial" w:cs="Arial"/>
                <w:sz w:val="24"/>
                <w:szCs w:val="24"/>
              </w:rPr>
            </w:pPr>
          </w:p>
        </w:tc>
        <w:tc>
          <w:tcPr>
            <w:tcW w:w="1990" w:type="dxa"/>
            <w:tcBorders>
              <w:right w:val="single" w:color="000000" w:sz="4" w:space="0"/>
            </w:tcBorders>
            <w:shd w:val="clear" w:color="auto" w:fill="D8D8D8"/>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bottom w:val="single" w:color="000000"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21</w:t>
            </w:r>
          </w:p>
        </w:tc>
        <w:tc>
          <w:tcPr>
            <w:tcW w:w="3902" w:type="dxa"/>
            <w:tcBorders>
              <w:bottom w:val="single" w:color="000000" w:sz="4" w:space="0"/>
            </w:tcBorders>
            <w:shd w:val="clear" w:color="auto" w:fill="FFFFFF"/>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3" w:type="dxa"/>
            <w:gridSpan w:val="2"/>
            <w:tcBorders>
              <w:bottom w:val="single" w:color="000000" w:sz="4" w:space="0"/>
            </w:tcBorders>
            <w:shd w:val="clear" w:color="auto" w:fill="FFFFFF"/>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97.31</w:t>
            </w:r>
          </w:p>
        </w:tc>
        <w:tc>
          <w:tcPr>
            <w:tcW w:w="199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94.42</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附表二：OV1风险加权资产概况</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7" w:type="dxa"/>
        <w:tblInd w:w="0" w:type="dxa"/>
        <w:tblLayout w:type="fixed"/>
        <w:tblCellMar>
          <w:top w:w="0" w:type="dxa"/>
          <w:left w:w="108" w:type="dxa"/>
          <w:bottom w:w="0" w:type="dxa"/>
          <w:right w:w="108" w:type="dxa"/>
        </w:tblCellMar>
      </w:tblPr>
      <w:tblGrid>
        <w:gridCol w:w="478"/>
        <w:gridCol w:w="1811"/>
        <w:gridCol w:w="2079"/>
        <w:gridCol w:w="2079"/>
        <w:gridCol w:w="2079"/>
        <w:gridCol w:w="1"/>
      </w:tblGrid>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restart"/>
            <w:tcBorders>
              <w:top w:val="single" w:color="000000" w:sz="4" w:space="0"/>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79" w:type="dxa"/>
            <w:tcBorders>
              <w:top w:val="single" w:color="000000"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079" w:type="dxa"/>
            <w:tcBorders>
              <w:top w:val="single" w:color="000000"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c>
          <w:tcPr>
            <w:tcW w:w="2079" w:type="dxa"/>
            <w:tcBorders>
              <w:top w:val="single" w:color="000000"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c</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4158" w:type="dxa"/>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风险加权资产</w:t>
            </w:r>
          </w:p>
        </w:tc>
        <w:tc>
          <w:tcPr>
            <w:tcW w:w="2079"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最低资本要求</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2024年9月30日</w:t>
            </w:r>
          </w:p>
        </w:tc>
        <w:tc>
          <w:tcPr>
            <w:tcW w:w="207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2024年6月30日</w:t>
            </w:r>
          </w:p>
        </w:tc>
        <w:tc>
          <w:tcPr>
            <w:tcW w:w="2079"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2024年9月30日</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信用风险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140486106</w:t>
            </w:r>
          </w:p>
        </w:tc>
        <w:tc>
          <w:tcPr>
            <w:tcW w:w="207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142561929</w:t>
            </w:r>
          </w:p>
        </w:tc>
        <w:tc>
          <w:tcPr>
            <w:tcW w:w="2080"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11238888</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市场风险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3978984</w:t>
            </w:r>
          </w:p>
        </w:tc>
        <w:tc>
          <w:tcPr>
            <w:tcW w:w="207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7098245</w:t>
            </w:r>
          </w:p>
        </w:tc>
        <w:tc>
          <w:tcPr>
            <w:tcW w:w="2080"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318319</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3</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操作风险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7422570</w:t>
            </w:r>
          </w:p>
        </w:tc>
        <w:tc>
          <w:tcPr>
            <w:tcW w:w="207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7422570</w:t>
            </w:r>
          </w:p>
        </w:tc>
        <w:tc>
          <w:tcPr>
            <w:tcW w:w="2080"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593806</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4</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交易账簿和银行账簿间转换的资本要求</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207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c>
          <w:tcPr>
            <w:tcW w:w="2080"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000000"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1811" w:type="dxa"/>
            <w:tcBorders>
              <w:top w:val="nil"/>
              <w:left w:val="single" w:color="auto" w:sz="4" w:space="0"/>
              <w:bottom w:val="single" w:color="000000"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4"/>
                <w:szCs w:val="24"/>
                <w:lang w:eastAsia="zh-CN"/>
                <w14:textFill>
                  <w14:solidFill>
                    <w14:schemeClr w14:val="tx1"/>
                  </w14:solidFill>
                </w14:textFill>
              </w:rPr>
            </w:pPr>
            <w:r>
              <w:rPr>
                <w:rFonts w:hint="eastAsia" w:ascii="仿宋_GB2312" w:hAnsi="仿宋" w:eastAsia="仿宋_GB2312" w:cs="Arial Unicode MS"/>
                <w:b/>
                <w:bCs/>
                <w:color w:val="000000" w:themeColor="text1"/>
                <w:sz w:val="24"/>
                <w:szCs w:val="24"/>
                <w:lang w:eastAsia="zh-CN"/>
                <w14:textFill>
                  <w14:solidFill>
                    <w14:schemeClr w14:val="tx1"/>
                  </w14:solidFill>
                </w14:textFill>
              </w:rPr>
              <w:t>合计</w:t>
            </w:r>
          </w:p>
        </w:tc>
        <w:tc>
          <w:tcPr>
            <w:tcW w:w="2079" w:type="dxa"/>
            <w:tcBorders>
              <w:top w:val="nil"/>
              <w:left w:val="nil"/>
              <w:bottom w:val="single" w:color="000000"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151887659</w:t>
            </w:r>
          </w:p>
        </w:tc>
        <w:tc>
          <w:tcPr>
            <w:tcW w:w="2079" w:type="dxa"/>
            <w:tcBorders>
              <w:top w:val="single" w:color="auto" w:sz="4" w:space="0"/>
              <w:left w:val="single" w:color="auto" w:sz="4" w:space="0"/>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157082744</w:t>
            </w:r>
          </w:p>
        </w:tc>
        <w:tc>
          <w:tcPr>
            <w:tcW w:w="2080"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12151013</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44" w:type="dxa"/>
            <w:gridSpan w:val="2"/>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4"/>
                <w:szCs w:val="24"/>
                <w:lang w:eastAsia="zh-CN"/>
                <w14:textFill>
                  <w14:solidFill>
                    <w14:schemeClr w14:val="tx1"/>
                  </w14:solidFill>
                </w14:textFill>
              </w:rPr>
            </w:pPr>
          </w:p>
        </w:tc>
        <w:tc>
          <w:tcPr>
            <w:tcW w:w="1932" w:type="dxa"/>
            <w:tcBorders>
              <w:top w:val="single" w:color="000000" w:sz="4" w:space="0"/>
              <w:left w:val="nil"/>
              <w:bottom w:val="single" w:color="auto" w:sz="4" w:space="0"/>
              <w:right w:val="single" w:color="000000" w:sz="4" w:space="0"/>
            </w:tcBorders>
            <w:vAlign w:val="bottom"/>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并表总资产</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210061665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-605312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客户资产调整项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衍生工具调整项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160809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证券融资交易调整项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95510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表外项目调整项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34026718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资产证券化交易调整项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未结算金融资产调整项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现金池调整项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存款准备金调整项（如有）</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65"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审慎估值和减值准备调整项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-1086113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其他调整项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4"/>
                <w:szCs w:val="24"/>
                <w14:textFill>
                  <w14:solidFill>
                    <w14:schemeClr w14:val="tx1"/>
                  </w14:solidFill>
                </w14:textFill>
              </w:rPr>
            </w:pPr>
            <w:r>
              <w:rPr>
                <w:rFonts w:ascii="仿宋_GB2312" w:hAnsi="宋体" w:eastAsia="仿宋_GB2312" w:cs="宋体"/>
                <w:b/>
                <w:bCs/>
                <w:color w:val="000000" w:themeColor="text1"/>
                <w:sz w:val="24"/>
                <w:szCs w:val="24"/>
                <w:lang w:eastAsia="zh-CN"/>
                <w14:textFill>
                  <w14:solidFill>
                    <w14:schemeClr w14:val="tx1"/>
                  </w14:solidFill>
                </w14:textFill>
              </w:rPr>
              <w:t>13</w:t>
            </w:r>
          </w:p>
        </w:tc>
        <w:tc>
          <w:tcPr>
            <w:tcW w:w="5985" w:type="dxa"/>
            <w:tcBorders>
              <w:top w:val="nil"/>
              <w:left w:val="nil"/>
              <w:bottom w:val="single" w:color="000000" w:sz="4" w:space="0"/>
              <w:right w:val="single" w:color="auto" w:sz="4" w:space="0"/>
            </w:tcBorders>
            <w:vAlign w:val="center"/>
          </w:tcPr>
          <w:p>
            <w:pPr>
              <w:snapToGrid w:val="0"/>
              <w:spacing w:line="480" w:lineRule="exact"/>
              <w:rPr>
                <w:rFonts w:ascii="仿宋_GB2312" w:eastAsia="仿宋_GB2312" w:cs="宋体"/>
                <w:b/>
                <w:bCs/>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sz w:val="24"/>
                <w:szCs w:val="24"/>
                <w:lang w:eastAsia="zh-CN"/>
                <w14:textFill>
                  <w14:solidFill>
                    <w14:schemeClr w14:val="tx1"/>
                  </w14:solidFill>
                </w14:textFill>
              </w:rPr>
              <w:t>调整后表内外资产余额</w:t>
            </w:r>
          </w:p>
        </w:tc>
        <w:tc>
          <w:tcPr>
            <w:tcW w:w="1932" w:type="dxa"/>
            <w:tcBorders>
              <w:top w:val="nil"/>
              <w:left w:val="nil"/>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242653277</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9"/>
        <w:gridCol w:w="4786"/>
        <w:gridCol w:w="1508"/>
        <w:gridCol w:w="2"/>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restart"/>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　</w:t>
            </w:r>
          </w:p>
        </w:tc>
        <w:tc>
          <w:tcPr>
            <w:tcW w:w="1508" w:type="dxa"/>
            <w:tcBorders>
              <w:top w:val="single" w:color="000000" w:sz="4" w:space="0"/>
              <w:left w:val="nil"/>
              <w:bottom w:val="single" w:color="auto" w:sz="4" w:space="0"/>
              <w:right w:val="single" w:color="auto" w:sz="4" w:space="0"/>
            </w:tcBorders>
            <w:vAlign w:val="bottom"/>
          </w:tcPr>
          <w:p>
            <w:pPr>
              <w:snapToGrid w:val="0"/>
              <w:spacing w:line="480" w:lineRule="exact"/>
              <w:jc w:val="center"/>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a</w:t>
            </w:r>
          </w:p>
        </w:tc>
        <w:tc>
          <w:tcPr>
            <w:tcW w:w="1509" w:type="dxa"/>
            <w:gridSpan w:val="2"/>
            <w:tcBorders>
              <w:top w:val="single" w:color="000000"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continue"/>
            <w:tcBorders>
              <w:top w:val="single" w:color="auto" w:sz="4" w:space="0"/>
              <w:left w:val="single" w:color="000000" w:sz="4" w:space="0"/>
              <w:bottom w:val="single" w:color="auto" w:sz="4" w:space="0"/>
              <w:right w:val="single" w:color="auto" w:sz="4" w:space="0"/>
            </w:tcBorders>
            <w:vAlign w:val="center"/>
          </w:tcPr>
          <w:p>
            <w:pPr>
              <w:spacing w:line="480" w:lineRule="exact"/>
              <w:rPr>
                <w:rFonts w:ascii="仿宋_GB2312" w:eastAsia="仿宋_GB2312" w:cs="宋体"/>
                <w:color w:val="000000" w:themeColor="text1"/>
                <w:sz w:val="24"/>
                <w:szCs w:val="24"/>
                <w:lang w:eastAsia="zh-CN"/>
                <w14:textFill>
                  <w14:solidFill>
                    <w14:schemeClr w14:val="tx1"/>
                  </w14:solidFill>
                </w14:textFill>
              </w:rPr>
            </w:pPr>
          </w:p>
        </w:tc>
        <w:tc>
          <w:tcPr>
            <w:tcW w:w="1508" w:type="dxa"/>
            <w:tcBorders>
              <w:top w:val="nil"/>
              <w:left w:val="nil"/>
              <w:bottom w:val="single" w:color="auto" w:sz="4" w:space="0"/>
              <w:right w:val="single" w:color="auto"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2024年9月30日</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kern w:val="2"/>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2024年6月30日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7015" w:type="dxa"/>
            <w:gridSpan w:val="4"/>
            <w:tcBorders>
              <w:top w:val="single" w:color="auto" w:sz="4" w:space="0"/>
              <w:left w:val="single" w:color="000000" w:sz="4" w:space="0"/>
              <w:bottom w:val="single" w:color="auto" w:sz="4" w:space="0"/>
              <w:right w:val="single" w:color="auto" w:sz="4" w:space="0"/>
            </w:tcBorders>
            <w:shd w:val="clear" w:color="auto" w:fill="A6A6A6"/>
            <w:vAlign w:val="bottom"/>
          </w:tcPr>
          <w:p>
            <w:pPr>
              <w:snapToGrid w:val="0"/>
              <w:spacing w:line="480" w:lineRule="exact"/>
              <w:rPr>
                <w:rFonts w:ascii="仿宋_GB2312"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kern w:val="2"/>
                <w:sz w:val="24"/>
                <w:szCs w:val="24"/>
                <w14:textFill>
                  <w14:solidFill>
                    <w14:schemeClr w14:val="tx1"/>
                  </w14:solidFill>
                </w14:textFill>
              </w:rPr>
              <w:t>表内资产余额</w:t>
            </w:r>
          </w:p>
        </w:tc>
        <w:tc>
          <w:tcPr>
            <w:tcW w:w="1507" w:type="dxa"/>
            <w:tcBorders>
              <w:top w:val="single" w:color="auto" w:sz="4" w:space="0"/>
              <w:left w:val="single" w:color="auto" w:sz="4" w:space="0"/>
              <w:bottom w:val="single" w:color="auto" w:sz="4" w:space="0"/>
              <w:right w:val="single" w:color="000000" w:sz="4" w:space="0"/>
            </w:tcBorders>
            <w:shd w:val="clear" w:color="auto" w:fill="A6A6A6"/>
            <w:vAlign w:val="bottom"/>
          </w:tcPr>
          <w:p>
            <w:pPr>
              <w:snapToGrid w:val="0"/>
              <w:spacing w:line="480" w:lineRule="exact"/>
              <w:rPr>
                <w:rFonts w:hint="eastAsia" w:ascii="仿宋_GB2312" w:hAnsi="宋体" w:eastAsia="仿宋_GB2312" w:cs="宋体"/>
                <w:b/>
                <w:color w:val="000000" w:themeColor="text1"/>
                <w:kern w:val="2"/>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表内资产（除衍生工具和证券融资交易外）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211499388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222016601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-4665381</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-4892747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减：一级资本扣除项</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-806703</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-848945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调整后的表内资产余额（衍生工具和证券融资交易除外）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206027304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216274910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的重置成本（扣除合格保证金，考虑双边净额结算协议的影响）</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124296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86689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的潜在风险暴露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160809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287004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已从资产负债表中扣除的抵质押品总和</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减：因提供合格保证金形成的应收资产</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的名义本金</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衍生</w:t>
            </w:r>
            <w:r>
              <w:rPr>
                <w:rFonts w:hint="eastAsia" w:ascii="仿宋_GB2312" w:hAnsi="宋体" w:eastAsia="仿宋_GB2312" w:cs="宋体"/>
                <w:b/>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b/>
                <w:bCs/>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285105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373693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证券融资交易的会计资产余额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2498050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减：可以扣除的证券融资交易资产余额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证券融资交易的交易对手信用风险暴露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95510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240079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代理证券融资交易形成的证券融资交易资产余额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2593560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240079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65020374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77191600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19</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减：因信用转换调整的表外项目余额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-30993655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-42426470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20</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-279410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-335360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21</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33747308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34429770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一级资本</w:t>
            </w:r>
            <w:r>
              <w:rPr>
                <w:rFonts w:hint="eastAsia" w:ascii="仿宋_GB2312" w:hAnsi="宋体" w:eastAsia="仿宋_GB2312" w:cs="宋体"/>
                <w:color w:val="000000" w:themeColor="text1"/>
                <w:kern w:val="2"/>
                <w:sz w:val="24"/>
                <w:szCs w:val="24"/>
                <w:lang w:eastAsia="zh-CN"/>
                <w14:textFill>
                  <w14:solidFill>
                    <w14:schemeClr w14:val="tx1"/>
                  </w14:solidFill>
                </w14:textFill>
              </w:rPr>
              <w:t>净额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16188716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15552310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调整后表内外资产余额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242653277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251318452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6.67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r>
              <w:rPr>
                <w:rFonts w:ascii="仿宋_GB2312" w:hAnsi="宋体" w:eastAsia="仿宋_GB2312" w:cs="宋体"/>
                <w:color w:val="000000" w:themeColor="text1"/>
                <w:kern w:val="2"/>
                <w:sz w:val="24"/>
                <w:szCs w:val="24"/>
                <w14:textFill>
                  <w14:solidFill>
                    <w14:schemeClr w14:val="tx1"/>
                  </w14:solidFill>
                </w14:textFill>
              </w:rPr>
              <w:t>a</w:t>
            </w:r>
          </w:p>
        </w:tc>
        <w:tc>
          <w:tcPr>
            <w:tcW w:w="4786"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r>
              <w:rPr>
                <w:rFonts w:ascii="仿宋_GB2312" w:hAnsi="宋体" w:eastAsia="仿宋_GB2312" w:cs="宋体"/>
                <w:color w:val="000000" w:themeColor="text1"/>
                <w:kern w:val="2"/>
                <w:sz w:val="24"/>
                <w:szCs w:val="24"/>
                <w:lang w:eastAsia="zh-CN"/>
                <w14:textFill>
                  <w14:solidFill>
                    <w14:schemeClr w14:val="tx1"/>
                  </w14:solidFill>
                </w14:textFill>
              </w:rPr>
              <w:t>a</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6.67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single" w:color="auto" w:sz="4" w:space="0"/>
              <w:left w:val="nil"/>
              <w:bottom w:val="single" w:color="000000"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最低杠杆率要求</w:t>
            </w:r>
          </w:p>
        </w:tc>
        <w:tc>
          <w:tcPr>
            <w:tcW w:w="1508" w:type="dxa"/>
            <w:tcBorders>
              <w:top w:val="single" w:color="auto" w:sz="4" w:space="0"/>
              <w:left w:val="nil"/>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c>
          <w:tcPr>
            <w:tcW w:w="1509"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20"/>
          <w:szCs w:val="20"/>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891043"/>
    <w:rsid w:val="0A621877"/>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BB14F1"/>
    <w:rsid w:val="12C16F92"/>
    <w:rsid w:val="12C47C85"/>
    <w:rsid w:val="12D1709D"/>
    <w:rsid w:val="130A7B3B"/>
    <w:rsid w:val="135A295C"/>
    <w:rsid w:val="13650466"/>
    <w:rsid w:val="13752225"/>
    <w:rsid w:val="137C5799"/>
    <w:rsid w:val="13D977A5"/>
    <w:rsid w:val="13F24F24"/>
    <w:rsid w:val="140E4545"/>
    <w:rsid w:val="1410151A"/>
    <w:rsid w:val="14517C55"/>
    <w:rsid w:val="14524747"/>
    <w:rsid w:val="14682706"/>
    <w:rsid w:val="14845411"/>
    <w:rsid w:val="148677DE"/>
    <w:rsid w:val="1523518B"/>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1D7834"/>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964385"/>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80330B"/>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6669B4"/>
    <w:rsid w:val="526A6D29"/>
    <w:rsid w:val="52892CE2"/>
    <w:rsid w:val="528D3B09"/>
    <w:rsid w:val="52B053BD"/>
    <w:rsid w:val="52C2722A"/>
    <w:rsid w:val="53297AE5"/>
    <w:rsid w:val="539D4FAD"/>
    <w:rsid w:val="53B7531C"/>
    <w:rsid w:val="53DB028B"/>
    <w:rsid w:val="543447AA"/>
    <w:rsid w:val="551556FB"/>
    <w:rsid w:val="551A468B"/>
    <w:rsid w:val="55212294"/>
    <w:rsid w:val="5555589B"/>
    <w:rsid w:val="556805E1"/>
    <w:rsid w:val="556B24C0"/>
    <w:rsid w:val="556B3318"/>
    <w:rsid w:val="55A857A7"/>
    <w:rsid w:val="56590FAA"/>
    <w:rsid w:val="567E4BE9"/>
    <w:rsid w:val="56907E9A"/>
    <w:rsid w:val="56F3559A"/>
    <w:rsid w:val="56F80400"/>
    <w:rsid w:val="57336284"/>
    <w:rsid w:val="57351A11"/>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B07C89"/>
    <w:rsid w:val="6CC23088"/>
    <w:rsid w:val="6CC71BEE"/>
    <w:rsid w:val="6CD42D63"/>
    <w:rsid w:val="6D0468D3"/>
    <w:rsid w:val="6D1E2632"/>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2"/>
      <w:szCs w:val="22"/>
      <w:u w:val="none"/>
    </w:rPr>
  </w:style>
  <w:style w:type="character" w:customStyle="1" w:styleId="5">
    <w:name w:val="font1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2024-10-30T09:04:44Z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