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outlineLvl w:val="0"/>
        <w:rPr>
          <w:rFonts w:ascii="黑体" w:eastAsia="黑体"/>
          <w:sz w:val="36"/>
          <w:szCs w:val="36"/>
          <w:highlight w:val="none"/>
        </w:rPr>
      </w:pPr>
    </w:p>
    <w:p>
      <w:pPr>
        <w:adjustRightInd w:val="0"/>
        <w:snapToGrid w:val="0"/>
        <w:jc w:val="center"/>
        <w:outlineLvl w:val="0"/>
        <w:rPr>
          <w:rFonts w:ascii="黑体" w:eastAsia="黑体"/>
          <w:sz w:val="36"/>
          <w:szCs w:val="36"/>
          <w:highlight w:val="none"/>
        </w:rPr>
      </w:pPr>
      <w:r>
        <w:rPr>
          <w:rFonts w:hint="eastAsia" w:ascii="黑体" w:eastAsia="黑体"/>
          <w:sz w:val="36"/>
          <w:szCs w:val="36"/>
          <w:highlight w:val="none"/>
        </w:rPr>
        <w:t>20</w:t>
      </w:r>
      <w:r>
        <w:rPr>
          <w:rFonts w:ascii="黑体" w:eastAsia="黑体"/>
          <w:sz w:val="36"/>
          <w:szCs w:val="36"/>
          <w:highlight w:val="none"/>
        </w:rPr>
        <w:t>2</w:t>
      </w:r>
      <w:r>
        <w:rPr>
          <w:rFonts w:hint="eastAsia" w:ascii="黑体" w:eastAsia="黑体"/>
          <w:sz w:val="36"/>
          <w:szCs w:val="36"/>
          <w:highlight w:val="none"/>
          <w:lang w:val="en-US" w:eastAsia="zh-CN"/>
        </w:rPr>
        <w:t>5</w:t>
      </w:r>
      <w:r>
        <w:rPr>
          <w:rFonts w:hint="eastAsia" w:ascii="黑体" w:eastAsia="黑体"/>
          <w:sz w:val="36"/>
          <w:szCs w:val="36"/>
          <w:highlight w:val="none"/>
        </w:rPr>
        <w:t>年</w:t>
      </w:r>
      <w:r>
        <w:rPr>
          <w:rFonts w:hint="eastAsia" w:ascii="黑体" w:eastAsia="黑体"/>
          <w:sz w:val="36"/>
          <w:szCs w:val="36"/>
          <w:highlight w:val="none"/>
          <w:lang w:eastAsia="zh-CN"/>
        </w:rPr>
        <w:t>二</w:t>
      </w:r>
      <w:r>
        <w:rPr>
          <w:rFonts w:hint="eastAsia" w:ascii="黑体" w:eastAsia="黑体"/>
          <w:sz w:val="36"/>
          <w:szCs w:val="36"/>
          <w:highlight w:val="none"/>
        </w:rPr>
        <w:t>季度关联交易专项报告</w:t>
      </w:r>
      <w:r>
        <w:rPr>
          <w:rStyle w:val="13"/>
          <w:rFonts w:hint="eastAsia" w:ascii="黑体" w:eastAsia="黑体"/>
          <w:sz w:val="36"/>
          <w:szCs w:val="36"/>
          <w:highlight w:val="none"/>
        </w:rPr>
        <w:footnoteReference w:id="0"/>
      </w:r>
    </w:p>
    <w:p>
      <w:pPr>
        <w:adjustRightInd w:val="0"/>
        <w:snapToGrid w:val="0"/>
        <w:jc w:val="center"/>
        <w:rPr>
          <w:rFonts w:ascii="黑体" w:eastAsia="黑体"/>
          <w:sz w:val="36"/>
          <w:szCs w:val="36"/>
          <w:highlight w:val="none"/>
        </w:rPr>
      </w:pPr>
    </w:p>
    <w:p>
      <w:pPr>
        <w:spacing w:line="600" w:lineRule="exact"/>
        <w:ind w:firstLine="600" w:firstLineChars="20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根据《银行保险机构关联交易管理办法》及本行《章程》《关联交易管理办法》的有关规定，现将本行</w:t>
      </w:r>
      <w:r>
        <w:rPr>
          <w:rFonts w:ascii="仿宋_GB2312" w:hAnsi="仿宋" w:eastAsia="仿宋_GB2312"/>
          <w:sz w:val="30"/>
          <w:szCs w:val="30"/>
          <w:highlight w:val="none"/>
        </w:rPr>
        <w:t>202</w:t>
      </w:r>
      <w:r>
        <w:rPr>
          <w:rFonts w:hint="eastAsia" w:ascii="仿宋_GB2312" w:hAnsi="仿宋" w:eastAsia="仿宋_GB2312"/>
          <w:sz w:val="30"/>
          <w:szCs w:val="30"/>
          <w:highlight w:val="none"/>
          <w:lang w:val="en-US" w:eastAsia="zh-CN"/>
        </w:rPr>
        <w:t>5</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二</w:t>
      </w:r>
      <w:r>
        <w:rPr>
          <w:rFonts w:hint="eastAsia" w:ascii="仿宋_GB2312" w:hAnsi="仿宋" w:eastAsia="仿宋_GB2312" w:cs="KFWCQV+ËÎÌå"/>
          <w:sz w:val="30"/>
          <w:szCs w:val="30"/>
          <w:highlight w:val="none"/>
        </w:rPr>
        <w:t>季度关联交易情况报告如下：</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一、关联交易管理情况</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二</w:t>
      </w:r>
      <w:r>
        <w:rPr>
          <w:rFonts w:hint="eastAsia" w:ascii="仿宋_GB2312" w:hAnsi="仿宋" w:eastAsia="仿宋_GB2312" w:cs="JNNOKE+ËÎÌå"/>
          <w:sz w:val="30"/>
          <w:szCs w:val="30"/>
          <w:highlight w:val="none"/>
        </w:rPr>
        <w:t>季度，本行董事会风险管理及关联交易控制委员会召开会议</w:t>
      </w:r>
      <w:r>
        <w:rPr>
          <w:rFonts w:hint="eastAsia" w:ascii="仿宋_GB2312" w:hAnsi="仿宋" w:eastAsia="仿宋_GB2312" w:cs="JNNOKE+ËÎÌå"/>
          <w:sz w:val="30"/>
          <w:szCs w:val="30"/>
          <w:highlight w:val="none"/>
          <w:lang w:val="en-US" w:eastAsia="zh-CN"/>
        </w:rPr>
        <w:t>1</w:t>
      </w:r>
      <w:r>
        <w:rPr>
          <w:rFonts w:hint="eastAsia" w:ascii="仿宋_GB2312" w:hAnsi="仿宋" w:eastAsia="仿宋_GB2312" w:cs="JNNOKE+ËÎÌå"/>
          <w:sz w:val="30"/>
          <w:szCs w:val="30"/>
          <w:highlight w:val="none"/>
        </w:rPr>
        <w:t>次，审议通过了</w:t>
      </w:r>
      <w:r>
        <w:rPr>
          <w:rFonts w:hint="eastAsia" w:ascii="仿宋_GB2312" w:hAnsi="宋体" w:eastAsia="仿宋_GB2312"/>
          <w:sz w:val="30"/>
          <w:szCs w:val="30"/>
          <w:highlight w:val="none"/>
          <w:lang w:eastAsia="zh-CN"/>
        </w:rPr>
        <w:t>《</w:t>
      </w:r>
      <w:r>
        <w:rPr>
          <w:rFonts w:ascii="仿宋_GB2312" w:hAnsi="宋体" w:eastAsia="仿宋_GB2312"/>
          <w:sz w:val="30"/>
          <w:szCs w:val="30"/>
        </w:rPr>
        <w:t>2024年度关联交易专项报告</w:t>
      </w:r>
      <w:r>
        <w:rPr>
          <w:rFonts w:hint="eastAsia" w:ascii="仿宋_GB2312" w:hAnsi="宋体" w:eastAsia="仿宋_GB2312"/>
          <w:sz w:val="30"/>
          <w:szCs w:val="30"/>
          <w:highlight w:val="none"/>
          <w:lang w:eastAsia="zh-CN"/>
        </w:rPr>
        <w:t>》《</w:t>
      </w:r>
      <w:r>
        <w:rPr>
          <w:rFonts w:ascii="仿宋_GB2312" w:hAnsi="宋体" w:eastAsia="仿宋_GB2312"/>
          <w:sz w:val="30"/>
          <w:szCs w:val="30"/>
        </w:rPr>
        <w:t>关于部分关联方2025年度日常关联交易预计额度的议案</w:t>
      </w:r>
      <w:r>
        <w:rPr>
          <w:rFonts w:hint="eastAsia" w:ascii="仿宋_GB2312" w:hAnsi="宋体" w:eastAsia="仿宋_GB2312"/>
          <w:sz w:val="30"/>
          <w:szCs w:val="30"/>
          <w:highlight w:val="none"/>
          <w:lang w:eastAsia="zh-CN"/>
        </w:rPr>
        <w:t>》《</w:t>
      </w:r>
      <w:r>
        <w:rPr>
          <w:rFonts w:ascii="仿宋_GB2312" w:hAnsi="宋体" w:eastAsia="仿宋_GB2312"/>
          <w:sz w:val="30"/>
          <w:szCs w:val="30"/>
        </w:rPr>
        <w:t>2025年一季度关联交易专项报告</w:t>
      </w:r>
      <w:r>
        <w:rPr>
          <w:rFonts w:hint="eastAsia" w:ascii="仿宋_GB2312" w:hAnsi="宋体" w:eastAsia="仿宋_GB2312"/>
          <w:sz w:val="30"/>
          <w:szCs w:val="30"/>
          <w:highlight w:val="none"/>
          <w:lang w:eastAsia="zh-CN"/>
        </w:rPr>
        <w:t>》《</w:t>
      </w:r>
      <w:r>
        <w:rPr>
          <w:rFonts w:ascii="仿宋_GB2312" w:hAnsi="宋体" w:eastAsia="仿宋_GB2312"/>
          <w:sz w:val="30"/>
          <w:szCs w:val="30"/>
        </w:rPr>
        <w:t>2025年3月末董事关联关系情况报告</w:t>
      </w:r>
      <w:r>
        <w:rPr>
          <w:rFonts w:hint="eastAsia" w:ascii="仿宋_GB2312" w:hAnsi="宋体" w:eastAsia="仿宋_GB2312"/>
          <w:sz w:val="30"/>
          <w:szCs w:val="30"/>
          <w:highlight w:val="none"/>
          <w:lang w:eastAsia="zh-CN"/>
        </w:rPr>
        <w:t>》</w:t>
      </w:r>
      <w:r>
        <w:rPr>
          <w:rFonts w:hint="eastAsia" w:ascii="仿宋_GB2312" w:hAnsi="宋体" w:eastAsia="仿宋_GB2312"/>
          <w:sz w:val="30"/>
          <w:szCs w:val="30"/>
          <w:highlight w:val="none"/>
          <w:lang w:val="en-US" w:eastAsia="zh-CN"/>
        </w:rPr>
        <w:t>等</w:t>
      </w:r>
      <w:r>
        <w:rPr>
          <w:rFonts w:hint="eastAsia" w:ascii="仿宋_GB2312" w:hAnsi="宋体" w:eastAsia="仿宋_GB2312"/>
          <w:sz w:val="30"/>
          <w:szCs w:val="30"/>
          <w:highlight w:val="none"/>
          <w:lang w:eastAsia="zh-CN"/>
        </w:rPr>
        <w:t>议案</w:t>
      </w:r>
      <w:r>
        <w:rPr>
          <w:rFonts w:hint="eastAsia" w:ascii="仿宋_GB2312" w:hAnsi="仿宋" w:eastAsia="仿宋_GB2312" w:cs="JNNOKE+ËÎÌå"/>
          <w:sz w:val="30"/>
          <w:szCs w:val="30"/>
          <w:highlight w:val="none"/>
        </w:rPr>
        <w:t>。董事会召开与关联交易相关的会议</w:t>
      </w:r>
      <w:r>
        <w:rPr>
          <w:rFonts w:hint="eastAsia" w:ascii="仿宋_GB2312" w:hAnsi="仿宋" w:eastAsia="仿宋_GB2312" w:cs="JNNOKE+ËÎÌå"/>
          <w:sz w:val="30"/>
          <w:szCs w:val="30"/>
          <w:highlight w:val="none"/>
          <w:lang w:val="en-US" w:eastAsia="zh-CN"/>
        </w:rPr>
        <w:t>1</w:t>
      </w:r>
      <w:r>
        <w:rPr>
          <w:rFonts w:hint="eastAsia" w:ascii="仿宋_GB2312" w:hAnsi="仿宋" w:eastAsia="仿宋_GB2312" w:cs="JNNOKE+ËÎÌå"/>
          <w:sz w:val="30"/>
          <w:szCs w:val="30"/>
          <w:highlight w:val="none"/>
        </w:rPr>
        <w:t>次，</w:t>
      </w:r>
      <w:r>
        <w:rPr>
          <w:rFonts w:hint="eastAsia" w:ascii="仿宋" w:hAnsi="仿宋" w:eastAsia="仿宋" w:cs="JNNOKE+ËÎÌå"/>
          <w:sz w:val="30"/>
          <w:szCs w:val="30"/>
        </w:rPr>
        <w:t>审议通过了《</w:t>
      </w:r>
      <w:r>
        <w:rPr>
          <w:rFonts w:ascii="仿宋" w:hAnsi="仿宋" w:eastAsia="仿宋"/>
          <w:sz w:val="30"/>
          <w:szCs w:val="30"/>
        </w:rPr>
        <w:t>202</w:t>
      </w:r>
      <w:r>
        <w:rPr>
          <w:rFonts w:hint="eastAsia" w:ascii="仿宋" w:hAnsi="仿宋" w:eastAsia="仿宋"/>
          <w:sz w:val="30"/>
          <w:szCs w:val="30"/>
          <w:lang w:val="en-US" w:eastAsia="zh-CN"/>
        </w:rPr>
        <w:t>4</w:t>
      </w:r>
      <w:r>
        <w:rPr>
          <w:rFonts w:ascii="仿宋" w:hAnsi="仿宋" w:eastAsia="仿宋"/>
          <w:sz w:val="30"/>
          <w:szCs w:val="30"/>
        </w:rPr>
        <w:t>年度关联交易专项报告</w:t>
      </w:r>
      <w:r>
        <w:rPr>
          <w:rFonts w:hint="eastAsia" w:ascii="仿宋" w:hAnsi="仿宋" w:eastAsia="仿宋" w:cs="JNNOKE+ËÎÌå"/>
          <w:sz w:val="30"/>
          <w:szCs w:val="30"/>
        </w:rPr>
        <w:t>》《关于部分关联方202</w:t>
      </w:r>
      <w:r>
        <w:rPr>
          <w:rFonts w:hint="eastAsia" w:ascii="仿宋" w:hAnsi="仿宋" w:eastAsia="仿宋" w:cs="JNNOKE+ËÎÌå"/>
          <w:sz w:val="30"/>
          <w:szCs w:val="30"/>
          <w:lang w:val="en-US" w:eastAsia="zh-CN"/>
        </w:rPr>
        <w:t>5</w:t>
      </w:r>
      <w:r>
        <w:rPr>
          <w:rFonts w:hint="eastAsia" w:ascii="仿宋" w:hAnsi="仿宋" w:eastAsia="仿宋" w:cs="JNNOKE+ËÎÌå"/>
          <w:sz w:val="30"/>
          <w:szCs w:val="30"/>
        </w:rPr>
        <w:t>年度日常关联交易预计额度的议案》，审阅了《</w:t>
      </w:r>
      <w:r>
        <w:rPr>
          <w:rFonts w:ascii="仿宋" w:hAnsi="仿宋" w:eastAsia="仿宋"/>
          <w:sz w:val="30"/>
          <w:szCs w:val="30"/>
        </w:rPr>
        <w:t>202</w:t>
      </w:r>
      <w:r>
        <w:rPr>
          <w:rFonts w:hint="eastAsia" w:ascii="仿宋" w:hAnsi="仿宋" w:eastAsia="仿宋"/>
          <w:sz w:val="30"/>
          <w:szCs w:val="30"/>
          <w:lang w:val="en-US" w:eastAsia="zh-CN"/>
        </w:rPr>
        <w:t>5</w:t>
      </w:r>
      <w:r>
        <w:rPr>
          <w:rFonts w:ascii="仿宋" w:hAnsi="仿宋" w:eastAsia="仿宋"/>
          <w:sz w:val="30"/>
          <w:szCs w:val="30"/>
        </w:rPr>
        <w:t>年3月末董事关联关系情况报告</w:t>
      </w:r>
      <w:r>
        <w:rPr>
          <w:rFonts w:hint="eastAsia" w:ascii="仿宋" w:hAnsi="仿宋" w:eastAsia="仿宋" w:cs="JNNOKE+ËÎÌå"/>
          <w:sz w:val="30"/>
          <w:szCs w:val="30"/>
        </w:rPr>
        <w:t>》</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二、关联交易制度执行情况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JNNOKE+ËÎÌå"/>
          <w:sz w:val="30"/>
          <w:szCs w:val="30"/>
          <w:highlight w:val="none"/>
        </w:rPr>
        <w:t>（一）</w:t>
      </w:r>
      <w:r>
        <w:rPr>
          <w:rFonts w:hint="eastAsia" w:ascii="仿宋_GB2312" w:hAnsi="仿宋" w:eastAsia="仿宋_GB2312" w:cs="CVGVTE+ËÎÌå"/>
          <w:sz w:val="30"/>
          <w:szCs w:val="30"/>
          <w:highlight w:val="none"/>
        </w:rPr>
        <w:t>关联交易定价情况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CVGVTE+ËÎÌå"/>
          <w:sz w:val="30"/>
          <w:szCs w:val="30"/>
          <w:highlight w:val="none"/>
        </w:rPr>
        <w:t>本行与关联方的关联交易坚持遵循一般商业条款和正常业务程序进行，其定价原则与独立第三方交易一致，即以不优于对非关联方同类交易的条件进行,不存在给其他股东合法利益造成损害的情形，具备合法性与公允性。</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（二）关联交易流程管理情况</w:t>
      </w:r>
    </w:p>
    <w:p>
      <w:pPr>
        <w:spacing w:line="600" w:lineRule="exact"/>
        <w:ind w:firstLine="600" w:firstLineChars="200"/>
        <w:rPr>
          <w:rFonts w:hint="eastAsia" w:ascii="仿宋_GB2312" w:hAnsi="仿宋" w:eastAsia="仿宋_GB2312" w:cs="JNNOKE+ËÎÌå"/>
          <w:sz w:val="30"/>
          <w:szCs w:val="30"/>
          <w:highlight w:val="none"/>
          <w:lang w:val="en-US" w:eastAsia="zh-CN"/>
        </w:rPr>
      </w:pPr>
      <w:r>
        <w:rPr>
          <w:rFonts w:hint="eastAsia" w:ascii="仿宋_GB2312" w:hAnsi="仿宋" w:eastAsia="仿宋_GB2312" w:cs="JNNOKE+ËÎÌå"/>
          <w:sz w:val="30"/>
          <w:szCs w:val="30"/>
          <w:highlight w:val="none"/>
          <w:lang w:val="en-US" w:eastAsia="zh-CN"/>
        </w:rPr>
        <w:t>本行授信类及非授信类交易业务流程均加入关联交易审核节点，严格落实关联方审批规范及限额管理。</w:t>
      </w:r>
    </w:p>
    <w:p>
      <w:pPr>
        <w:spacing w:line="600" w:lineRule="exact"/>
        <w:ind w:firstLine="600" w:firstLineChars="200"/>
        <w:rPr>
          <w:rFonts w:ascii="仿宋_GB2312" w:hAnsi="仿宋" w:eastAsia="仿宋_GB2312" w:cs="JNNOKE+ËÎÌå"/>
          <w:sz w:val="30"/>
          <w:szCs w:val="30"/>
          <w:highlight w:val="none"/>
        </w:rPr>
      </w:pPr>
      <w:r>
        <w:rPr>
          <w:rFonts w:hint="eastAsia" w:ascii="仿宋_GB2312" w:hAnsi="仿宋" w:eastAsia="仿宋_GB2312" w:cs="JNNOKE+ËÎÌå"/>
          <w:sz w:val="30"/>
          <w:szCs w:val="30"/>
          <w:highlight w:val="none"/>
        </w:rPr>
        <w:t>（</w:t>
      </w:r>
      <w:r>
        <w:rPr>
          <w:rFonts w:hint="eastAsia" w:ascii="仿宋_GB2312" w:hAnsi="仿宋" w:eastAsia="仿宋_GB2312" w:cs="JNNOKE+ËÎÌå"/>
          <w:sz w:val="30"/>
          <w:szCs w:val="30"/>
          <w:highlight w:val="none"/>
          <w:lang w:eastAsia="zh-CN"/>
        </w:rPr>
        <w:t>三</w:t>
      </w:r>
      <w:r>
        <w:rPr>
          <w:rFonts w:hint="eastAsia" w:ascii="仿宋_GB2312" w:hAnsi="仿宋" w:eastAsia="仿宋_GB2312" w:cs="JNNOKE+ËÎÌå"/>
          <w:sz w:val="30"/>
          <w:szCs w:val="30"/>
          <w:highlight w:val="none"/>
        </w:rPr>
        <w:t>）关联交易披露与报告情况</w:t>
      </w:r>
    </w:p>
    <w:p>
      <w:pPr>
        <w:spacing w:line="600" w:lineRule="exact"/>
        <w:ind w:firstLine="600" w:firstLineChars="200"/>
        <w:outlineLvl w:val="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报告期内，</w:t>
      </w:r>
      <w:r>
        <w:rPr>
          <w:rFonts w:hint="eastAsia" w:ascii="仿宋_GB2312" w:hAnsi="仿宋" w:eastAsia="仿宋_GB2312" w:cs="JNNOKE+ËÎÌå"/>
          <w:sz w:val="30"/>
          <w:szCs w:val="30"/>
          <w:highlight w:val="none"/>
        </w:rPr>
        <w:t>本行严格按照监管机构规定及本行相关制度要求，履行</w:t>
      </w:r>
      <w:r>
        <w:rPr>
          <w:rFonts w:hint="eastAsia" w:ascii="仿宋_GB2312" w:hAnsi="仿宋" w:eastAsia="仿宋_GB2312" w:cs="JNNOKE+ËÎÌå"/>
          <w:sz w:val="30"/>
          <w:szCs w:val="30"/>
          <w:highlight w:val="none"/>
          <w:lang w:eastAsia="zh-CN"/>
        </w:rPr>
        <w:t>关联交易信息披露义务，切实保障股东对本行关联交易的知情权，维护股东利益。本行</w:t>
      </w:r>
      <w:r>
        <w:rPr>
          <w:rFonts w:hint="eastAsia" w:ascii="仿宋_GB2312" w:hAnsi="仿宋" w:eastAsia="仿宋_GB2312" w:cs="JNNOKE+ËÎÌå"/>
          <w:sz w:val="30"/>
          <w:szCs w:val="30"/>
          <w:highlight w:val="none"/>
          <w:lang w:val="en-US" w:eastAsia="zh-CN"/>
        </w:rPr>
        <w:t>四</w:t>
      </w:r>
      <w:r>
        <w:rPr>
          <w:rFonts w:hint="eastAsia" w:ascii="仿宋_GB2312" w:hAnsi="仿宋" w:eastAsia="仿宋_GB2312" w:cs="JNNOKE+ËÎÌå"/>
          <w:sz w:val="30"/>
          <w:szCs w:val="30"/>
          <w:highlight w:val="none"/>
          <w:lang w:eastAsia="zh-CN"/>
        </w:rPr>
        <w:t>季度关联交易在官方网站进行了合并披露。</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三、</w:t>
      </w:r>
      <w:r>
        <w:rPr>
          <w:rFonts w:ascii="黑体" w:hAnsi="黑体" w:eastAsia="黑体" w:cs="KFWCQV+ËÎÌå"/>
          <w:sz w:val="30"/>
          <w:szCs w:val="30"/>
          <w:highlight w:val="none"/>
        </w:rPr>
        <w:t>202</w:t>
      </w:r>
      <w:r>
        <w:rPr>
          <w:rFonts w:hint="eastAsia" w:ascii="黑体" w:hAnsi="黑体" w:eastAsia="黑体" w:cs="KFWCQV+ËÎÌå"/>
          <w:sz w:val="30"/>
          <w:szCs w:val="30"/>
          <w:highlight w:val="none"/>
          <w:lang w:val="en-US" w:eastAsia="zh-CN"/>
        </w:rPr>
        <w:t>5</w:t>
      </w:r>
      <w:r>
        <w:rPr>
          <w:rFonts w:hint="eastAsia" w:ascii="黑体" w:hAnsi="黑体" w:eastAsia="黑体" w:cs="KFWCQV+ËÎÌå"/>
          <w:sz w:val="30"/>
          <w:szCs w:val="30"/>
          <w:highlight w:val="none"/>
        </w:rPr>
        <w:t>年</w:t>
      </w:r>
      <w:r>
        <w:rPr>
          <w:rFonts w:hint="eastAsia" w:ascii="黑体" w:hAnsi="黑体" w:eastAsia="黑体" w:cs="KFWCQV+ËÎÌå"/>
          <w:sz w:val="30"/>
          <w:szCs w:val="30"/>
          <w:highlight w:val="none"/>
          <w:lang w:eastAsia="zh-CN"/>
        </w:rPr>
        <w:t>二</w:t>
      </w:r>
      <w:r>
        <w:rPr>
          <w:rFonts w:hint="eastAsia" w:ascii="黑体" w:hAnsi="黑体" w:eastAsia="黑体" w:cs="KFWCQV+ËÎÌå"/>
          <w:sz w:val="30"/>
          <w:szCs w:val="30"/>
          <w:highlight w:val="none"/>
        </w:rPr>
        <w:t>季度主要关联交易情况</w:t>
      </w:r>
    </w:p>
    <w:p>
      <w:pPr>
        <w:spacing w:line="600" w:lineRule="exact"/>
        <w:ind w:firstLine="600" w:firstLineChars="200"/>
        <w:rPr>
          <w:rFonts w:cs="KFWCQV+ËÎÌå" w:asciiTheme="minorEastAsia" w:hAnsiTheme="minorEastAsia" w:eastAsiaTheme="minorEastAsia"/>
          <w:sz w:val="22"/>
          <w:highlight w:val="none"/>
        </w:rPr>
      </w:pPr>
      <w:r>
        <w:rPr>
          <w:rFonts w:hint="eastAsia" w:ascii="仿宋_GB2312" w:hAnsi="仿宋" w:eastAsia="仿宋_GB2312" w:cs="KFWCQV+ËÎÌå"/>
          <w:sz w:val="30"/>
          <w:szCs w:val="30"/>
          <w:highlight w:val="none"/>
        </w:rPr>
        <w:t>截至</w:t>
      </w:r>
      <w:r>
        <w:rPr>
          <w:rFonts w:ascii="仿宋_GB2312" w:hAnsi="仿宋" w:eastAsia="仿宋_GB2312" w:cs="KFWCQV+ËÎÌå"/>
          <w:sz w:val="30"/>
          <w:szCs w:val="30"/>
          <w:highlight w:val="none"/>
        </w:rPr>
        <w:t>202</w:t>
      </w:r>
      <w:r>
        <w:rPr>
          <w:rFonts w:hint="eastAsia" w:ascii="仿宋_GB2312" w:hAnsi="仿宋" w:eastAsia="仿宋_GB2312" w:cs="KFWCQV+ËÎÌå"/>
          <w:sz w:val="30"/>
          <w:szCs w:val="30"/>
          <w:highlight w:val="none"/>
          <w:lang w:val="en-US" w:eastAsia="zh-CN"/>
        </w:rPr>
        <w:t>5</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二</w:t>
      </w:r>
      <w:r>
        <w:rPr>
          <w:rFonts w:hint="eastAsia" w:ascii="仿宋_GB2312" w:hAnsi="仿宋" w:eastAsia="仿宋_GB2312" w:cs="KFWCQV+ËÎÌå"/>
          <w:sz w:val="30"/>
          <w:szCs w:val="30"/>
          <w:highlight w:val="none"/>
        </w:rPr>
        <w:t>季度末，本行与关联方企业之间发生的具体交易情况如下：</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1、存款类关联交易</w:t>
      </w:r>
    </w:p>
    <w:p>
      <w:pPr>
        <w:spacing w:line="600" w:lineRule="exact"/>
        <w:ind w:firstLine="440" w:firstLineChars="200"/>
        <w:jc w:val="right"/>
        <w:rPr>
          <w:rFonts w:ascii="仿宋_GB2312" w:hAnsi="仿宋" w:eastAsia="仿宋_GB2312" w:cs="KFWCQV+ËÎÌå"/>
          <w:sz w:val="30"/>
          <w:szCs w:val="30"/>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：万元</w:t>
      </w:r>
    </w:p>
    <w:tbl>
      <w:tblPr>
        <w:tblStyle w:val="8"/>
        <w:tblW w:w="9570" w:type="dxa"/>
        <w:jc w:val="center"/>
        <w:tblInd w:w="0" w:type="dxa"/>
        <w:tblLayout w:type="fixed"/>
        <w:tblCellMar>
          <w:top w:w="0" w:type="dxa"/>
          <w:left w:w="0" w:type="dxa"/>
          <w:bottom w:w="0" w:type="dxa"/>
          <w:right w:w="0" w:type="dxa"/>
        </w:tblCellMar>
      </w:tblPr>
      <w:tblGrid>
        <w:gridCol w:w="3953"/>
        <w:gridCol w:w="1130"/>
        <w:gridCol w:w="1487"/>
        <w:gridCol w:w="1636"/>
        <w:gridCol w:w="1364"/>
      </w:tblGrid>
      <w:tr>
        <w:tblPrEx>
          <w:tblLayout w:type="fixed"/>
          <w:tblCellMar>
            <w:top w:w="0" w:type="dxa"/>
            <w:left w:w="0" w:type="dxa"/>
            <w:bottom w:w="0" w:type="dxa"/>
            <w:right w:w="0" w:type="dxa"/>
          </w:tblCellMar>
        </w:tblPrEx>
        <w:trPr>
          <w:trHeight w:val="606"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关联方类型</w:t>
            </w:r>
          </w:p>
        </w:tc>
        <w:tc>
          <w:tcPr>
            <w:tcW w:w="11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6月末吸收存款总计</w:t>
            </w:r>
          </w:p>
        </w:tc>
        <w:tc>
          <w:tcPr>
            <w:tcW w:w="1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其中：保证金类</w:t>
            </w:r>
          </w:p>
        </w:tc>
        <w:tc>
          <w:tcPr>
            <w:tcW w:w="16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定期存款类</w:t>
            </w:r>
          </w:p>
        </w:tc>
        <w:tc>
          <w:tcPr>
            <w:tcW w:w="13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结构性存款类</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持有本行5%以上(含5%)股份的股东</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3105.76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90"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亨通集团有限公司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3029.18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江苏新恒通投资集团有限公司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76.57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本行的参控公司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江苏射阳农村商业银行股份有限公司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江苏东台农村商业银行股份有限公司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本行的子公司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湖北嘉鱼吴江村镇银行股份有限公司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0"/>
                <w:szCs w:val="20"/>
                <w:u w:val="none"/>
                <w:lang w:val="en-US" w:eastAsia="zh-CN" w:bidi="ar"/>
              </w:rPr>
              <w:t>其他关联方企业</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43607.53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12417.31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13979.04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关联自然人总计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0"/>
                <w:szCs w:val="20"/>
                <w:u w:val="none"/>
                <w:lang w:val="en-US" w:eastAsia="zh-CN" w:bidi="ar"/>
              </w:rPr>
              <w:t>10877.61</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ascii="宋体" w:hAnsi="宋体" w:cs="宋体"/>
                <w:b/>
                <w:color w:val="000000"/>
                <w:sz w:val="16"/>
                <w:szCs w:val="16"/>
                <w:highlight w:val="none"/>
              </w:rPr>
            </w:pP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0"/>
                <w:szCs w:val="20"/>
                <w:u w:val="none"/>
                <w:lang w:val="en-US" w:eastAsia="zh-CN" w:bidi="ar"/>
              </w:rPr>
              <w:t>9735.85</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0"/>
                <w:szCs w:val="20"/>
                <w:u w:val="none"/>
                <w:lang w:val="en-US" w:eastAsia="zh-CN" w:bidi="ar"/>
              </w:rPr>
              <w:t>73.42</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kern w:val="0"/>
                <w:sz w:val="20"/>
                <w:szCs w:val="20"/>
                <w:highlight w:val="none"/>
                <w:lang w:bidi="ar"/>
              </w:rPr>
            </w:pPr>
            <w:r>
              <w:rPr>
                <w:rFonts w:hint="eastAsia" w:ascii="宋体" w:hAnsi="宋体" w:eastAsia="宋体" w:cs="宋体"/>
                <w:b/>
                <w:i w:val="0"/>
                <w:color w:val="000000"/>
                <w:kern w:val="0"/>
                <w:sz w:val="20"/>
                <w:szCs w:val="20"/>
                <w:u w:val="none"/>
                <w:lang w:val="en-US" w:eastAsia="zh-CN" w:bidi="ar"/>
              </w:rPr>
              <w:t>关联方合计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 xml:space="preserve">57590.90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 xml:space="preserve">15342.31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 xml:space="preserve">9735.85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 xml:space="preserve">14052.46 </w:t>
            </w:r>
          </w:p>
        </w:tc>
      </w:tr>
    </w:tbl>
    <w:p>
      <w:pPr>
        <w:ind w:firstLine="440" w:firstLineChars="200"/>
        <w:rPr>
          <w:rFonts w:cs="KFWCQV+ËÎÌå" w:asciiTheme="minorEastAsia" w:hAnsiTheme="minorEastAsia" w:eastAsiaTheme="minorEastAsia"/>
          <w:i/>
          <w:iCs/>
          <w:sz w:val="22"/>
          <w:highlight w:val="none"/>
        </w:rPr>
      </w:pPr>
      <w:r>
        <w:rPr>
          <w:rFonts w:hint="eastAsia" w:cs="KFWCQV+ËÎÌå" w:asciiTheme="minorEastAsia" w:hAnsiTheme="minorEastAsia" w:eastAsiaTheme="minorEastAsia"/>
          <w:sz w:val="22"/>
          <w:highlight w:val="none"/>
        </w:rPr>
        <w:t>注：吸收存款总计包括活期存款、定期存款、单位结构性存款、保证金；其中保证金合计项包括、担保公司保证金、信用证保证金、远期结售汇保证金、银行承兑汇票保证金、保函保证金。</w:t>
      </w:r>
    </w:p>
    <w:p>
      <w:pPr>
        <w:ind w:firstLine="600" w:firstLineChars="200"/>
        <w:rPr>
          <w:rFonts w:hint="eastAsia"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截至202</w:t>
      </w:r>
      <w:r>
        <w:rPr>
          <w:rFonts w:hint="eastAsia" w:ascii="仿宋_GB2312" w:hAnsi="仿宋" w:eastAsia="仿宋_GB2312" w:cs="KFWCQV+ËÎÌå"/>
          <w:sz w:val="30"/>
          <w:szCs w:val="30"/>
          <w:highlight w:val="none"/>
          <w:lang w:val="en-US" w:eastAsia="zh-CN"/>
        </w:rPr>
        <w:t>5</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val="en-US" w:eastAsia="zh-CN"/>
        </w:rPr>
        <w:t>6</w:t>
      </w:r>
      <w:r>
        <w:rPr>
          <w:rFonts w:hint="eastAsia" w:ascii="仿宋_GB2312" w:hAnsi="仿宋" w:eastAsia="仿宋_GB2312" w:cs="KFWCQV+ËÎÌå"/>
          <w:sz w:val="30"/>
          <w:szCs w:val="30"/>
          <w:highlight w:val="none"/>
        </w:rPr>
        <w:t>月末，本行</w:t>
      </w:r>
      <w:r>
        <w:rPr>
          <w:rFonts w:hint="eastAsia" w:ascii="仿宋_GB2312" w:hAnsi="仿宋" w:eastAsia="仿宋_GB2312" w:cs="KFWCQV+ËÎÌå"/>
          <w:sz w:val="30"/>
          <w:szCs w:val="30"/>
          <w:highlight w:val="none"/>
          <w:lang w:eastAsia="zh-CN"/>
        </w:rPr>
        <w:t>关联法人定期存款与结构性存款余额合计13979.04 万元，关联自然人定期存款与结构性存款余额合计9809.27</w:t>
      </w:r>
      <w:r>
        <w:rPr>
          <w:rFonts w:hint="eastAsia" w:ascii="仿宋_GB2312" w:hAnsi="仿宋" w:eastAsia="仿宋_GB2312" w:cs="KFWCQV+ËÎÌå"/>
          <w:sz w:val="30"/>
          <w:szCs w:val="30"/>
          <w:highlight w:val="none"/>
          <w:lang w:val="en-US" w:eastAsia="zh-CN"/>
        </w:rPr>
        <w:t>万元，</w:t>
      </w:r>
      <w:r>
        <w:rPr>
          <w:rFonts w:hint="eastAsia" w:ascii="仿宋_GB2312" w:hAnsi="仿宋" w:eastAsia="仿宋_GB2312" w:cs="KFWCQV+ËÎÌå"/>
          <w:sz w:val="30"/>
          <w:szCs w:val="30"/>
          <w:highlight w:val="none"/>
          <w:lang w:eastAsia="zh-CN"/>
        </w:rPr>
        <w:t>未超年度股东大会预计额度</w:t>
      </w:r>
      <w:r>
        <w:rPr>
          <w:rFonts w:hint="eastAsia" w:ascii="仿宋_GB2312" w:hAnsi="仿宋" w:eastAsia="仿宋_GB2312" w:cs="KFWCQV+ËÎÌå"/>
          <w:sz w:val="30"/>
          <w:szCs w:val="30"/>
          <w:highlight w:val="none"/>
          <w:lang w:val="en-US" w:eastAsia="zh-CN"/>
        </w:rPr>
        <w:t>。</w:t>
      </w:r>
    </w:p>
    <w:p>
      <w:pPr>
        <w:ind w:firstLine="440" w:firstLineChars="200"/>
        <w:rPr>
          <w:rFonts w:cs="KFWCQV+ËÎÌå" w:asciiTheme="minorEastAsia" w:hAnsiTheme="minorEastAsia" w:eastAsiaTheme="minorEastAsia"/>
          <w:i/>
          <w:iCs/>
          <w:sz w:val="22"/>
          <w:highlight w:val="none"/>
        </w:rPr>
      </w:pPr>
    </w:p>
    <w:p>
      <w:pPr>
        <w:ind w:firstLine="562" w:firstLineChars="200"/>
        <w:rPr>
          <w:rFonts w:eastAsia="仿宋" w:cs="KFWCQV+ËÎÌå" w:asciiTheme="minorEastAsia" w:hAnsiTheme="minorEastAsia"/>
          <w:i/>
          <w:iCs/>
          <w:sz w:val="22"/>
          <w:highlight w:val="none"/>
        </w:rPr>
      </w:pPr>
      <w:r>
        <w:rPr>
          <w:rFonts w:hint="eastAsia" w:ascii="仿宋" w:hAnsi="仿宋" w:eastAsia="仿宋" w:cs="KFWCQV+ËÎÌå"/>
          <w:b/>
          <w:bCs/>
          <w:sz w:val="28"/>
          <w:szCs w:val="28"/>
          <w:highlight w:val="none"/>
        </w:rPr>
        <w:t>2、授信类关联交易</w:t>
      </w:r>
    </w:p>
    <w:p>
      <w:pPr>
        <w:jc w:val="right"/>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 xml:space="preserve">：万元 </w:t>
      </w:r>
    </w:p>
    <w:p>
      <w:pPr>
        <w:jc w:val="right"/>
        <w:rPr>
          <w:rFonts w:hint="eastAsia" w:cs="KFWCQV+ËÎÌå" w:asciiTheme="minorEastAsia" w:hAnsiTheme="minorEastAsia" w:eastAsiaTheme="minorEastAsia"/>
          <w:sz w:val="22"/>
          <w:highlight w:val="none"/>
        </w:rPr>
      </w:pPr>
    </w:p>
    <w:tbl>
      <w:tblPr>
        <w:tblStyle w:val="8"/>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7"/>
        <w:gridCol w:w="1141"/>
        <w:gridCol w:w="1141"/>
        <w:gridCol w:w="1018"/>
        <w:gridCol w:w="1017"/>
        <w:gridCol w:w="895"/>
        <w:gridCol w:w="77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关联方类型</w:t>
            </w:r>
          </w:p>
        </w:tc>
        <w:tc>
          <w:tcPr>
            <w:tcW w:w="1141" w:type="dxa"/>
            <w:shd w:val="clear" w:color="auto" w:fill="D9D9D9"/>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6月末用信余额合计</w:t>
            </w:r>
          </w:p>
        </w:tc>
        <w:tc>
          <w:tcPr>
            <w:tcW w:w="11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其中：贷款</w:t>
            </w:r>
          </w:p>
        </w:tc>
        <w:tc>
          <w:tcPr>
            <w:tcW w:w="101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贴现</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银票敞口</w:t>
            </w:r>
          </w:p>
        </w:tc>
        <w:tc>
          <w:tcPr>
            <w:tcW w:w="8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信用证敞口</w:t>
            </w:r>
          </w:p>
        </w:tc>
        <w:tc>
          <w:tcPr>
            <w:tcW w:w="7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商票保贴</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债券投资本金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持股5％以上股东</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亨通集团有限公司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江苏新恒通投资集团有限公司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联营企业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江苏射阳农村商业银行股份有限公司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江苏东台农村商业银行股份有限公司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湖北嘉鱼吴江村镇银行股份有限公司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其他关联企业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127052.83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104517.00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10000.00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10135.83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400.00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b/>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苏州翔楼新材料股份有限公司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500.00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500.00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吴江市双盈化纺实业有限公司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苏州市奕双新材料有限公司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江苏万鼎智能制造有限公司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苏商融资租赁有限公司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34439.00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34439.00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苏州市投资有限公司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吴江佳力高纤有限公司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江苏恒宇纺织集团有限公司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16128.43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15598.00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530.43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江苏张家港农村商业银行股份有限公司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亨通文旅发展有限公司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600.00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600.00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江苏亨芯石英科技有限公司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江苏亨通精密铜业有限公司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吴江飞乐恒通光纤光缆有限公司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吴江恒宇纺织染整有限公司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3477.40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3277.40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吴江恒宇纺织有限公司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3958.00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3180.00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378.00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400.00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苏州苏投贵金属文化发展有限公司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4900.00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4900.00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苏州东吴黄金进出口有限公司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关联企业用信总计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156027.83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124717.00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10000.00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18910.83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400.00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关联自然人用信总计（含贷记卡）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355.50 </w:t>
            </w:r>
          </w:p>
        </w:tc>
        <w:tc>
          <w:tcPr>
            <w:tcW w:w="1141"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9"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全部关联方用信合计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156383.33 </w:t>
            </w:r>
          </w:p>
        </w:tc>
        <w:tc>
          <w:tcPr>
            <w:tcW w:w="1141"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r>
    </w:tbl>
    <w:p>
      <w:pPr>
        <w:wordWrap w:val="0"/>
        <w:jc w:val="right"/>
        <w:rPr>
          <w:rFonts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 xml:space="preserve">    </w:t>
      </w:r>
    </w:p>
    <w:p>
      <w:pPr>
        <w:numPr>
          <w:ilvl w:val="0"/>
          <w:numId w:val="1"/>
        </w:numPr>
        <w:ind w:firstLine="440" w:firstLineChars="200"/>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用信为本行实质承担的信用风险</w:t>
      </w:r>
      <w:r>
        <w:rPr>
          <w:rFonts w:hint="eastAsia" w:cs="KFWCQV+ËÎÌå" w:asciiTheme="minorEastAsia" w:hAnsiTheme="minorEastAsia" w:eastAsiaTheme="minorEastAsia"/>
          <w:sz w:val="22"/>
          <w:highlight w:val="none"/>
        </w:rPr>
        <w:t>，具体包括：贷款、贴现、承兑汇票敞口、信用证敞口、保函敞口、</w:t>
      </w:r>
      <w:r>
        <w:rPr>
          <w:rFonts w:hint="eastAsia" w:cs="KFWCQV+ËÎÌå" w:asciiTheme="minorEastAsia" w:hAnsiTheme="minorEastAsia" w:eastAsiaTheme="minorEastAsia"/>
          <w:sz w:val="22"/>
          <w:highlight w:val="none"/>
          <w:lang w:eastAsia="zh-CN"/>
        </w:rPr>
        <w:t>商票保贴、</w:t>
      </w:r>
      <w:r>
        <w:rPr>
          <w:rFonts w:hint="eastAsia" w:cs="KFWCQV+ËÎÌå" w:asciiTheme="minorEastAsia" w:hAnsiTheme="minorEastAsia" w:eastAsiaTheme="minorEastAsia"/>
          <w:sz w:val="22"/>
          <w:highlight w:val="none"/>
        </w:rPr>
        <w:t>债券、债权融资计划</w:t>
      </w:r>
      <w:r>
        <w:rPr>
          <w:rFonts w:hint="eastAsia" w:cs="KFWCQV+ËÎÌå" w:asciiTheme="minorEastAsia" w:hAnsiTheme="minorEastAsia" w:eastAsiaTheme="minorEastAsia"/>
          <w:sz w:val="22"/>
          <w:highlight w:val="none"/>
          <w:lang w:eastAsia="zh-CN"/>
        </w:rPr>
        <w:t>、本行结构性存款质押业务</w:t>
      </w:r>
      <w:r>
        <w:rPr>
          <w:rFonts w:hint="eastAsia" w:cs="KFWCQV+ËÎÌå" w:asciiTheme="minorEastAsia" w:hAnsiTheme="minorEastAsia" w:eastAsiaTheme="minorEastAsia"/>
          <w:sz w:val="22"/>
          <w:highlight w:val="none"/>
        </w:rPr>
        <w:t>等。</w:t>
      </w:r>
    </w:p>
    <w:p>
      <w:pPr>
        <w:ind w:firstLine="600" w:firstLineChars="200"/>
        <w:rPr>
          <w:rFonts w:hint="eastAsia"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截至2025年6月末，本行单个关联方用信余额最高为苏商融资租赁有限公司34439万元，占上季末资本净额的1.7%。本公司对单个关联方所在集团（亨通集团）用信余额最高为94014万元，占上季末资本净额的4.63%；本公司对所有关联方用信余额为156383.33万元，占上季末资本净额的7.7%。额度均在监管要求范围内。</w:t>
      </w:r>
    </w:p>
    <w:p>
      <w:pPr>
        <w:ind w:firstLine="602" w:firstLineChars="200"/>
        <w:rPr>
          <w:rFonts w:hint="eastAsia" w:ascii="仿宋_GB2312" w:hAnsi="仿宋" w:eastAsia="仿宋_GB2312" w:cs="KFWCQV+ËÎÌå"/>
          <w:b/>
          <w:bCs/>
          <w:sz w:val="30"/>
          <w:szCs w:val="30"/>
          <w:highlight w:val="none"/>
        </w:rPr>
      </w:pPr>
      <w:r>
        <w:rPr>
          <w:rFonts w:hint="eastAsia" w:ascii="仿宋_GB2312" w:hAnsi="仿宋" w:eastAsia="仿宋_GB2312" w:cs="KFWCQV+ËÎÌå"/>
          <w:b/>
          <w:bCs/>
          <w:sz w:val="30"/>
          <w:szCs w:val="30"/>
          <w:highlight w:val="none"/>
        </w:rPr>
        <w:t>3、资产转移类关联交易</w:t>
      </w:r>
    </w:p>
    <w:p>
      <w:pPr>
        <w:ind w:firstLine="420" w:firstLineChars="14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报告期内未发生资产转移类关联交易。</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4、服务类关联交易</w:t>
      </w:r>
    </w:p>
    <w:p>
      <w:pPr>
        <w:ind w:firstLine="600" w:firstLineChars="200"/>
        <w:rPr>
          <w:rFonts w:hint="eastAsia" w:ascii="仿宋_GB2312" w:hAnsi="仿宋" w:eastAsia="仿宋_GB2312" w:cs="KFWCQV+ËÎÌå"/>
          <w:sz w:val="30"/>
          <w:szCs w:val="30"/>
          <w:highlight w:val="none"/>
          <w:lang w:val="en-US" w:eastAsia="zh-CN"/>
        </w:rPr>
      </w:pPr>
      <w:r>
        <w:rPr>
          <w:rFonts w:hint="eastAsia" w:ascii="仿宋_GB2312" w:hAnsi="仿宋" w:eastAsia="仿宋_GB2312" w:cs="KFWCQV+ËÎÌå"/>
          <w:sz w:val="30"/>
          <w:szCs w:val="30"/>
          <w:highlight w:val="none"/>
        </w:rPr>
        <w:t>本行与苏州苏投贵金属文化发展有限公司签订代理销售协议，202</w:t>
      </w:r>
      <w:r>
        <w:rPr>
          <w:rFonts w:hint="eastAsia" w:ascii="仿宋_GB2312" w:hAnsi="仿宋" w:eastAsia="仿宋_GB2312" w:cs="KFWCQV+ËÎÌå"/>
          <w:sz w:val="30"/>
          <w:szCs w:val="30"/>
          <w:highlight w:val="none"/>
          <w:lang w:val="en-US" w:eastAsia="zh-CN"/>
        </w:rPr>
        <w:t>5</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二</w:t>
      </w:r>
      <w:r>
        <w:rPr>
          <w:rFonts w:hint="eastAsia" w:ascii="仿宋_GB2312" w:hAnsi="仿宋" w:eastAsia="仿宋_GB2312" w:cs="KFWCQV+ËÎÌå"/>
          <w:sz w:val="30"/>
          <w:szCs w:val="30"/>
          <w:highlight w:val="none"/>
        </w:rPr>
        <w:t>季度本行累计收取手续费</w:t>
      </w:r>
      <w:r>
        <w:rPr>
          <w:rFonts w:hint="eastAsia" w:ascii="仿宋_GB2312" w:hAnsi="仿宋" w:eastAsia="仿宋_GB2312" w:cs="KFWCQV+ËÎÌå"/>
          <w:sz w:val="30"/>
          <w:szCs w:val="30"/>
          <w:highlight w:val="none"/>
          <w:lang w:val="en-US" w:eastAsia="zh-CN"/>
        </w:rPr>
        <w:t>0.015</w:t>
      </w:r>
      <w:r>
        <w:rPr>
          <w:rFonts w:hint="eastAsia" w:ascii="仿宋_GB2312" w:hAnsi="仿宋" w:eastAsia="仿宋_GB2312" w:cs="KFWCQV+ËÎÌå"/>
          <w:sz w:val="30"/>
          <w:szCs w:val="30"/>
          <w:highlight w:val="none"/>
        </w:rPr>
        <w:t>万元</w:t>
      </w:r>
      <w:r>
        <w:rPr>
          <w:rFonts w:hint="eastAsia" w:ascii="仿宋_GB2312" w:hAnsi="仿宋" w:eastAsia="仿宋_GB2312" w:cs="KFWCQV+ËÎÌå"/>
          <w:sz w:val="30"/>
          <w:szCs w:val="30"/>
          <w:highlight w:val="none"/>
          <w:lang w:eastAsia="zh-CN"/>
        </w:rPr>
        <w:t>，全年累计收取手续费</w:t>
      </w:r>
      <w:r>
        <w:rPr>
          <w:rFonts w:hint="eastAsia" w:ascii="仿宋_GB2312" w:hAnsi="仿宋" w:eastAsia="仿宋_GB2312" w:cs="KFWCQV+ËÎÌå"/>
          <w:sz w:val="30"/>
          <w:szCs w:val="30"/>
          <w:highlight w:val="none"/>
          <w:lang w:val="en-US" w:eastAsia="zh-CN"/>
        </w:rPr>
        <w:t>0.415万元。</w:t>
      </w:r>
    </w:p>
    <w:p>
      <w:pPr>
        <w:ind w:firstLine="600" w:firstLineChars="200"/>
        <w:rPr>
          <w:rFonts w:hint="default" w:ascii="仿宋_GB2312" w:hAnsi="仿宋" w:eastAsia="仿宋_GB2312" w:cs="KFWCQV+ËÎÌå"/>
          <w:sz w:val="30"/>
          <w:szCs w:val="30"/>
          <w:highlight w:val="none"/>
          <w:lang w:val="en-US" w:eastAsia="zh-CN"/>
        </w:rPr>
      </w:pPr>
      <w:r>
        <w:rPr>
          <w:rFonts w:hint="eastAsia" w:ascii="仿宋_GB2312" w:hAnsi="仿宋" w:eastAsia="仿宋_GB2312" w:cs="KFWCQV+ËÎÌå"/>
          <w:sz w:val="30"/>
          <w:szCs w:val="30"/>
          <w:highlight w:val="none"/>
          <w:lang w:val="en-US" w:eastAsia="zh-CN"/>
        </w:rPr>
        <w:t>本行与苏州市盛泽城乡一体化建设有限公司签订租赁合同，2025年二季度支出租赁费用54万元。</w:t>
      </w:r>
    </w:p>
    <w:p>
      <w:pPr>
        <w:numPr>
          <w:ilvl w:val="-1"/>
          <w:numId w:val="0"/>
        </w:numPr>
        <w:ind w:firstLine="562" w:firstLineChars="200"/>
        <w:rPr>
          <w:rFonts w:hint="eastAsia" w:ascii="仿宋" w:hAnsi="仿宋" w:eastAsia="仿宋" w:cs="KFWCQV+ËÎÌå"/>
          <w:b/>
          <w:bCs/>
          <w:sz w:val="28"/>
          <w:szCs w:val="28"/>
          <w:highlight w:val="none"/>
        </w:rPr>
      </w:pPr>
      <w:r>
        <w:rPr>
          <w:rFonts w:hint="eastAsia" w:ascii="仿宋" w:hAnsi="仿宋" w:eastAsia="仿宋" w:cs="KFWCQV+ËÎÌå"/>
          <w:b/>
          <w:bCs/>
          <w:sz w:val="28"/>
          <w:szCs w:val="28"/>
          <w:highlight w:val="none"/>
          <w:lang w:val="en-US" w:eastAsia="zh-CN"/>
        </w:rPr>
        <w:t>5.</w:t>
      </w:r>
      <w:r>
        <w:rPr>
          <w:rFonts w:hint="eastAsia" w:ascii="仿宋" w:hAnsi="仿宋" w:eastAsia="仿宋" w:cs="KFWCQV+ËÎÌå"/>
          <w:b/>
          <w:bCs/>
          <w:sz w:val="28"/>
          <w:szCs w:val="28"/>
          <w:highlight w:val="none"/>
        </w:rPr>
        <w:t>其他类关联交易</w:t>
      </w:r>
    </w:p>
    <w:p>
      <w:pPr>
        <w:numPr>
          <w:ilvl w:val="-1"/>
          <w:numId w:val="0"/>
        </w:numPr>
        <w:ind w:firstLine="560" w:firstLineChars="200"/>
        <w:rPr>
          <w:rFonts w:hint="eastAsia" w:ascii="仿宋" w:hAnsi="仿宋" w:eastAsia="仿宋" w:cs="KFWCQV+ËÎÌå"/>
          <w:b w:val="0"/>
          <w:bCs w:val="0"/>
          <w:sz w:val="28"/>
          <w:szCs w:val="28"/>
          <w:highlight w:val="none"/>
          <w:lang w:val="en-US" w:eastAsia="zh-CN"/>
        </w:rPr>
      </w:pPr>
      <w:r>
        <w:rPr>
          <w:rFonts w:hint="eastAsia" w:ascii="仿宋" w:hAnsi="仿宋" w:eastAsia="仿宋" w:cs="KFWCQV+ËÎÌå"/>
          <w:b w:val="0"/>
          <w:bCs w:val="0"/>
          <w:sz w:val="28"/>
          <w:szCs w:val="28"/>
          <w:highlight w:val="none"/>
          <w:lang w:val="en-US" w:eastAsia="zh-CN"/>
        </w:rPr>
        <w:t>无。</w:t>
      </w:r>
    </w:p>
    <w:p>
      <w:pPr>
        <w:jc w:val="right"/>
        <w:rPr>
          <w:rFonts w:hint="eastAsia" w:ascii="仿宋_GB2312" w:hAnsi="仿宋" w:eastAsia="仿宋_GB2312" w:cs="JNNOKE+ËÎÌå"/>
          <w:sz w:val="30"/>
          <w:szCs w:val="30"/>
          <w:highlight w:val="none"/>
          <w:lang w:val="en-US" w:eastAsia="zh-CN"/>
        </w:rPr>
      </w:pPr>
    </w:p>
    <w:p>
      <w:pPr>
        <w:jc w:val="right"/>
        <w:rPr>
          <w:rFonts w:hint="default" w:ascii="仿宋_GB2312" w:hAnsi="仿宋" w:eastAsia="仿宋_GB2312" w:cs="JNNOKE+ËÎÌå"/>
          <w:sz w:val="30"/>
          <w:szCs w:val="30"/>
          <w:highlight w:val="none"/>
          <w:lang w:val="en-US" w:eastAsia="zh-CN"/>
        </w:rPr>
      </w:pPr>
      <w:r>
        <w:rPr>
          <w:rFonts w:hint="eastAsia" w:ascii="仿宋_GB2312" w:hAnsi="仿宋" w:eastAsia="仿宋_GB2312" w:cs="JNNOKE+ËÎÌå"/>
          <w:sz w:val="30"/>
          <w:szCs w:val="30"/>
          <w:highlight w:val="none"/>
          <w:lang w:val="en-US" w:eastAsia="zh-CN"/>
        </w:rPr>
        <w:t>2025年7月9日</w:t>
      </w:r>
      <w:bookmarkStart w:id="0" w:name="_GoBack"/>
      <w:bookmarkEnd w:id="0"/>
    </w:p>
    <w:sectPr>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Arial"/>
    <w:panose1 w:val="00000000000000000000"/>
    <w:charset w:val="00"/>
    <w:family w:val="swiss"/>
    <w:pitch w:val="default"/>
    <w:sig w:usb0="00000000" w:usb1="00000000" w:usb2="00000000" w:usb3="00000000" w:csb0="00000001" w:csb1="00000000"/>
  </w:font>
  <w:font w:name="KFWCQV+ËÎÌå">
    <w:altName w:val="微软雅黑"/>
    <w:panose1 w:val="00000000000000000000"/>
    <w:charset w:val="01"/>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JNNOKE+ËÎÌå">
    <w:altName w:val="微软雅黑"/>
    <w:panose1 w:val="00000000000000000000"/>
    <w:charset w:val="01"/>
    <w:family w:val="auto"/>
    <w:pitch w:val="default"/>
    <w:sig w:usb0="00000000" w:usb1="00000000" w:usb2="00000000" w:usb3="00000000" w:csb0="00040001" w:csb1="00000000"/>
  </w:font>
  <w:font w:name="CVGVTE+ËÎÌå">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9740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3"/>
        </w:rPr>
        <w:footnoteRef/>
      </w:r>
      <w:r>
        <w:t xml:space="preserve"> </w:t>
      </w:r>
      <w:r>
        <w:rPr>
          <w:rFonts w:hint="eastAsia"/>
        </w:rPr>
        <w:t>本文除债券用信余额使用投资本金统计</w:t>
      </w:r>
      <w:r>
        <w:rPr>
          <w:rFonts w:hint="eastAsia"/>
          <w:lang w:eastAsia="zh-CN"/>
        </w:rPr>
        <w:t>，</w:t>
      </w:r>
      <w:r>
        <w:rPr>
          <w:rFonts w:hint="eastAsia"/>
        </w:rPr>
        <w:t>其余均采用1104口径</w:t>
      </w:r>
      <w:r>
        <w:rPr>
          <w:rFonts w:hint="eastAsia"/>
          <w:lang w:eastAsia="zh-CN"/>
        </w:rPr>
        <w:t>，</w:t>
      </w:r>
      <w:r>
        <w:rPr>
          <w:rFonts w:hint="eastAsia"/>
          <w:lang w:val="en-US" w:eastAsia="zh-CN"/>
        </w:rPr>
        <w:t>其中</w:t>
      </w:r>
      <w:r>
        <w:rPr>
          <w:rFonts w:hint="eastAsia"/>
        </w:rPr>
        <w:t>资本净额使用上季度末数据，。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E32B7"/>
    <w:multiLevelType w:val="singleLevel"/>
    <w:tmpl w:val="E95E32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ZDY3YjE0ZDg5NzUxYWVkY2ZmNzkxMzQwZmFjMDUifQ=="/>
  </w:docVars>
  <w:rsids>
    <w:rsidRoot w:val="008A20A3"/>
    <w:rsid w:val="000351C3"/>
    <w:rsid w:val="00040B09"/>
    <w:rsid w:val="000471D5"/>
    <w:rsid w:val="00053DEC"/>
    <w:rsid w:val="00077B33"/>
    <w:rsid w:val="000A0ED3"/>
    <w:rsid w:val="000A1DDA"/>
    <w:rsid w:val="00122DB2"/>
    <w:rsid w:val="0012521A"/>
    <w:rsid w:val="001355FB"/>
    <w:rsid w:val="00140B56"/>
    <w:rsid w:val="00173F67"/>
    <w:rsid w:val="00177397"/>
    <w:rsid w:val="00181D2C"/>
    <w:rsid w:val="001A4800"/>
    <w:rsid w:val="001C2115"/>
    <w:rsid w:val="001E4AC1"/>
    <w:rsid w:val="001F1A43"/>
    <w:rsid w:val="002001FC"/>
    <w:rsid w:val="00206F93"/>
    <w:rsid w:val="002075EF"/>
    <w:rsid w:val="00220ECA"/>
    <w:rsid w:val="00230A9C"/>
    <w:rsid w:val="002452B5"/>
    <w:rsid w:val="002C49BD"/>
    <w:rsid w:val="002E3A72"/>
    <w:rsid w:val="002F3FD1"/>
    <w:rsid w:val="002F5FA9"/>
    <w:rsid w:val="003113B3"/>
    <w:rsid w:val="00313783"/>
    <w:rsid w:val="00315A6B"/>
    <w:rsid w:val="00315CE0"/>
    <w:rsid w:val="003340E2"/>
    <w:rsid w:val="0034289B"/>
    <w:rsid w:val="00345642"/>
    <w:rsid w:val="00370F06"/>
    <w:rsid w:val="00375BAD"/>
    <w:rsid w:val="003875D3"/>
    <w:rsid w:val="003919F1"/>
    <w:rsid w:val="00394378"/>
    <w:rsid w:val="003954A3"/>
    <w:rsid w:val="003A36E0"/>
    <w:rsid w:val="003A705D"/>
    <w:rsid w:val="003B608F"/>
    <w:rsid w:val="003C4186"/>
    <w:rsid w:val="003D6DD8"/>
    <w:rsid w:val="003E39A5"/>
    <w:rsid w:val="003F13A9"/>
    <w:rsid w:val="00425100"/>
    <w:rsid w:val="00453193"/>
    <w:rsid w:val="004653E9"/>
    <w:rsid w:val="004C4E98"/>
    <w:rsid w:val="004D3376"/>
    <w:rsid w:val="004E3772"/>
    <w:rsid w:val="004E4A6E"/>
    <w:rsid w:val="004F41E0"/>
    <w:rsid w:val="005017D9"/>
    <w:rsid w:val="005428F3"/>
    <w:rsid w:val="00553BA2"/>
    <w:rsid w:val="00554B9E"/>
    <w:rsid w:val="005923CD"/>
    <w:rsid w:val="005A0A34"/>
    <w:rsid w:val="005A398E"/>
    <w:rsid w:val="005C3D1E"/>
    <w:rsid w:val="005F3CFF"/>
    <w:rsid w:val="006036FC"/>
    <w:rsid w:val="00613D3F"/>
    <w:rsid w:val="006415E0"/>
    <w:rsid w:val="00641C77"/>
    <w:rsid w:val="00661F66"/>
    <w:rsid w:val="00687B58"/>
    <w:rsid w:val="006C78B5"/>
    <w:rsid w:val="006E5BB5"/>
    <w:rsid w:val="00753A33"/>
    <w:rsid w:val="007552F7"/>
    <w:rsid w:val="00761EF9"/>
    <w:rsid w:val="007B2616"/>
    <w:rsid w:val="007C7FBA"/>
    <w:rsid w:val="007F365C"/>
    <w:rsid w:val="0080545E"/>
    <w:rsid w:val="00806E6A"/>
    <w:rsid w:val="008143C1"/>
    <w:rsid w:val="0083287D"/>
    <w:rsid w:val="008477DA"/>
    <w:rsid w:val="00861D4D"/>
    <w:rsid w:val="00871650"/>
    <w:rsid w:val="0087547A"/>
    <w:rsid w:val="008815E5"/>
    <w:rsid w:val="008A20A3"/>
    <w:rsid w:val="008C0249"/>
    <w:rsid w:val="008E4051"/>
    <w:rsid w:val="008E68DA"/>
    <w:rsid w:val="0090619D"/>
    <w:rsid w:val="00913718"/>
    <w:rsid w:val="00915A94"/>
    <w:rsid w:val="009265C2"/>
    <w:rsid w:val="00940BF3"/>
    <w:rsid w:val="00946749"/>
    <w:rsid w:val="00952B97"/>
    <w:rsid w:val="009645D6"/>
    <w:rsid w:val="00967572"/>
    <w:rsid w:val="009759CA"/>
    <w:rsid w:val="00992FBD"/>
    <w:rsid w:val="0099388E"/>
    <w:rsid w:val="009958DB"/>
    <w:rsid w:val="009E0464"/>
    <w:rsid w:val="009E640A"/>
    <w:rsid w:val="009E65D5"/>
    <w:rsid w:val="009F63BE"/>
    <w:rsid w:val="00A15F95"/>
    <w:rsid w:val="00A30DCD"/>
    <w:rsid w:val="00A31743"/>
    <w:rsid w:val="00A439E8"/>
    <w:rsid w:val="00A9213C"/>
    <w:rsid w:val="00A96878"/>
    <w:rsid w:val="00A96E8D"/>
    <w:rsid w:val="00AA0B2A"/>
    <w:rsid w:val="00AA28C0"/>
    <w:rsid w:val="00AD1C6B"/>
    <w:rsid w:val="00AD6E64"/>
    <w:rsid w:val="00AE1D7A"/>
    <w:rsid w:val="00AE4AA2"/>
    <w:rsid w:val="00B01158"/>
    <w:rsid w:val="00B41AB9"/>
    <w:rsid w:val="00B45D3E"/>
    <w:rsid w:val="00B51DCE"/>
    <w:rsid w:val="00B73AD1"/>
    <w:rsid w:val="00B90006"/>
    <w:rsid w:val="00BA503D"/>
    <w:rsid w:val="00BB46E8"/>
    <w:rsid w:val="00BC3D97"/>
    <w:rsid w:val="00BE1075"/>
    <w:rsid w:val="00BF76F6"/>
    <w:rsid w:val="00C245E3"/>
    <w:rsid w:val="00C51136"/>
    <w:rsid w:val="00C656FD"/>
    <w:rsid w:val="00C66761"/>
    <w:rsid w:val="00C7602B"/>
    <w:rsid w:val="00C955C1"/>
    <w:rsid w:val="00CA15FA"/>
    <w:rsid w:val="00CC77FE"/>
    <w:rsid w:val="00D41A67"/>
    <w:rsid w:val="00D41D9D"/>
    <w:rsid w:val="00D5524D"/>
    <w:rsid w:val="00D80BB5"/>
    <w:rsid w:val="00D815FF"/>
    <w:rsid w:val="00DA0B85"/>
    <w:rsid w:val="00DA1624"/>
    <w:rsid w:val="00DA1A50"/>
    <w:rsid w:val="00DA2E7A"/>
    <w:rsid w:val="00DA49B9"/>
    <w:rsid w:val="00DA5FF7"/>
    <w:rsid w:val="00DA73AC"/>
    <w:rsid w:val="00DC1103"/>
    <w:rsid w:val="00DC2161"/>
    <w:rsid w:val="00DC2680"/>
    <w:rsid w:val="00DC61E6"/>
    <w:rsid w:val="00DE28EB"/>
    <w:rsid w:val="00DE62A9"/>
    <w:rsid w:val="00DE6D0D"/>
    <w:rsid w:val="00E27F3B"/>
    <w:rsid w:val="00E55A94"/>
    <w:rsid w:val="00E76264"/>
    <w:rsid w:val="00EC46B4"/>
    <w:rsid w:val="00EE4A0A"/>
    <w:rsid w:val="00EE65C8"/>
    <w:rsid w:val="00EF482C"/>
    <w:rsid w:val="00EF7A9B"/>
    <w:rsid w:val="00EF7C64"/>
    <w:rsid w:val="00F062A6"/>
    <w:rsid w:val="00F1380D"/>
    <w:rsid w:val="00F2305A"/>
    <w:rsid w:val="00F438C5"/>
    <w:rsid w:val="00F44EB0"/>
    <w:rsid w:val="00FC6636"/>
    <w:rsid w:val="01FE66A8"/>
    <w:rsid w:val="03D273AB"/>
    <w:rsid w:val="04003D1C"/>
    <w:rsid w:val="044C3AD5"/>
    <w:rsid w:val="04DF6D03"/>
    <w:rsid w:val="04E974F4"/>
    <w:rsid w:val="050A7FA8"/>
    <w:rsid w:val="05AC1D34"/>
    <w:rsid w:val="06155C60"/>
    <w:rsid w:val="06DE33EA"/>
    <w:rsid w:val="0732538C"/>
    <w:rsid w:val="0AEA562C"/>
    <w:rsid w:val="0BB26BE8"/>
    <w:rsid w:val="0C8A39D7"/>
    <w:rsid w:val="0E752D74"/>
    <w:rsid w:val="0ED778FB"/>
    <w:rsid w:val="0EEC4E6E"/>
    <w:rsid w:val="0F0E0932"/>
    <w:rsid w:val="10AF53DB"/>
    <w:rsid w:val="10CF2A1C"/>
    <w:rsid w:val="111352B9"/>
    <w:rsid w:val="113F29E0"/>
    <w:rsid w:val="121B50CB"/>
    <w:rsid w:val="125E3E75"/>
    <w:rsid w:val="12D12783"/>
    <w:rsid w:val="12E50DD2"/>
    <w:rsid w:val="12F24D34"/>
    <w:rsid w:val="148721E7"/>
    <w:rsid w:val="158052E6"/>
    <w:rsid w:val="168E6AAB"/>
    <w:rsid w:val="16C0447B"/>
    <w:rsid w:val="16C94868"/>
    <w:rsid w:val="17456ADE"/>
    <w:rsid w:val="17C028CE"/>
    <w:rsid w:val="17F01BE4"/>
    <w:rsid w:val="1A4E036B"/>
    <w:rsid w:val="1A9D36C4"/>
    <w:rsid w:val="1CA656F5"/>
    <w:rsid w:val="1EC353A6"/>
    <w:rsid w:val="1FC00B04"/>
    <w:rsid w:val="21A90A7B"/>
    <w:rsid w:val="226B194C"/>
    <w:rsid w:val="2296607A"/>
    <w:rsid w:val="24CF26B3"/>
    <w:rsid w:val="258465D6"/>
    <w:rsid w:val="264649E9"/>
    <w:rsid w:val="27886FCA"/>
    <w:rsid w:val="27BF070B"/>
    <w:rsid w:val="29E86BBF"/>
    <w:rsid w:val="2A365342"/>
    <w:rsid w:val="2B9565EF"/>
    <w:rsid w:val="2B9F152F"/>
    <w:rsid w:val="2BCB4103"/>
    <w:rsid w:val="2BDA6164"/>
    <w:rsid w:val="2CEF2E25"/>
    <w:rsid w:val="2CFE0C85"/>
    <w:rsid w:val="2E3C51C6"/>
    <w:rsid w:val="2F804FB0"/>
    <w:rsid w:val="2FEF6DC9"/>
    <w:rsid w:val="310130E2"/>
    <w:rsid w:val="315B028F"/>
    <w:rsid w:val="316E034A"/>
    <w:rsid w:val="317C7E79"/>
    <w:rsid w:val="31A32E4B"/>
    <w:rsid w:val="32BB3A32"/>
    <w:rsid w:val="351E7C2D"/>
    <w:rsid w:val="35305E63"/>
    <w:rsid w:val="354C0CEB"/>
    <w:rsid w:val="36E151A4"/>
    <w:rsid w:val="3755232E"/>
    <w:rsid w:val="37A67986"/>
    <w:rsid w:val="38841439"/>
    <w:rsid w:val="38F5735F"/>
    <w:rsid w:val="3B554CDA"/>
    <w:rsid w:val="3CB110E4"/>
    <w:rsid w:val="3CC56FBE"/>
    <w:rsid w:val="3E4F44A2"/>
    <w:rsid w:val="3EE86586"/>
    <w:rsid w:val="3EF87F6D"/>
    <w:rsid w:val="3EFF3B53"/>
    <w:rsid w:val="40F55AFB"/>
    <w:rsid w:val="414611C9"/>
    <w:rsid w:val="41EF4B9D"/>
    <w:rsid w:val="428568C3"/>
    <w:rsid w:val="42F6602F"/>
    <w:rsid w:val="439355A8"/>
    <w:rsid w:val="46467DCB"/>
    <w:rsid w:val="4651303A"/>
    <w:rsid w:val="47B32C39"/>
    <w:rsid w:val="483E1421"/>
    <w:rsid w:val="48503FB5"/>
    <w:rsid w:val="497E333F"/>
    <w:rsid w:val="49941726"/>
    <w:rsid w:val="4A28463E"/>
    <w:rsid w:val="4BD45341"/>
    <w:rsid w:val="4BF25F94"/>
    <w:rsid w:val="4D9D0713"/>
    <w:rsid w:val="4E126300"/>
    <w:rsid w:val="4E8950BB"/>
    <w:rsid w:val="4FA57E33"/>
    <w:rsid w:val="4FF41058"/>
    <w:rsid w:val="50714245"/>
    <w:rsid w:val="507C7FCA"/>
    <w:rsid w:val="507D72E7"/>
    <w:rsid w:val="50DA33D2"/>
    <w:rsid w:val="519579C9"/>
    <w:rsid w:val="521071C6"/>
    <w:rsid w:val="53B43100"/>
    <w:rsid w:val="540B1129"/>
    <w:rsid w:val="556A2BA1"/>
    <w:rsid w:val="556F599F"/>
    <w:rsid w:val="557C55B0"/>
    <w:rsid w:val="5654706B"/>
    <w:rsid w:val="56A23756"/>
    <w:rsid w:val="58355FDA"/>
    <w:rsid w:val="59B102BC"/>
    <w:rsid w:val="59D86D8F"/>
    <w:rsid w:val="5A543481"/>
    <w:rsid w:val="5BA7081D"/>
    <w:rsid w:val="5BE5173B"/>
    <w:rsid w:val="5BFD51EC"/>
    <w:rsid w:val="5C4D0B95"/>
    <w:rsid w:val="5C576F00"/>
    <w:rsid w:val="5D2928E7"/>
    <w:rsid w:val="5D66554E"/>
    <w:rsid w:val="5E3D1B2F"/>
    <w:rsid w:val="5E502E67"/>
    <w:rsid w:val="5ED70DED"/>
    <w:rsid w:val="5F4069B0"/>
    <w:rsid w:val="5F9273B0"/>
    <w:rsid w:val="60117157"/>
    <w:rsid w:val="60D54DB2"/>
    <w:rsid w:val="633572A2"/>
    <w:rsid w:val="63695490"/>
    <w:rsid w:val="63BE794F"/>
    <w:rsid w:val="64652723"/>
    <w:rsid w:val="66593EEE"/>
    <w:rsid w:val="67427449"/>
    <w:rsid w:val="69025617"/>
    <w:rsid w:val="693160C0"/>
    <w:rsid w:val="69ED6695"/>
    <w:rsid w:val="6A0069F8"/>
    <w:rsid w:val="6A4237E6"/>
    <w:rsid w:val="6A68501D"/>
    <w:rsid w:val="6B1E543D"/>
    <w:rsid w:val="6BA62514"/>
    <w:rsid w:val="6DA46F0C"/>
    <w:rsid w:val="6E2D70D9"/>
    <w:rsid w:val="6EE80E11"/>
    <w:rsid w:val="6F4439CF"/>
    <w:rsid w:val="6F65711C"/>
    <w:rsid w:val="6FA045DD"/>
    <w:rsid w:val="6FCE5B9A"/>
    <w:rsid w:val="70A8134E"/>
    <w:rsid w:val="727D27A3"/>
    <w:rsid w:val="72A33F36"/>
    <w:rsid w:val="72CE15CD"/>
    <w:rsid w:val="7464553D"/>
    <w:rsid w:val="753C646F"/>
    <w:rsid w:val="762D2C27"/>
    <w:rsid w:val="7771174D"/>
    <w:rsid w:val="792F5705"/>
    <w:rsid w:val="79C82630"/>
    <w:rsid w:val="7A9805BE"/>
    <w:rsid w:val="7B447E06"/>
    <w:rsid w:val="7BD503F6"/>
    <w:rsid w:val="7C147A9E"/>
    <w:rsid w:val="7D0A20D6"/>
    <w:rsid w:val="7D136032"/>
    <w:rsid w:val="7D8C5BA2"/>
    <w:rsid w:val="7EC26004"/>
    <w:rsid w:val="7FC1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annotation reference"/>
    <w:basedOn w:val="10"/>
    <w:semiHidden/>
    <w:unhideWhenUsed/>
    <w:qFormat/>
    <w:uiPriority w:val="99"/>
    <w:rPr>
      <w:sz w:val="21"/>
      <w:szCs w:val="21"/>
    </w:rPr>
  </w:style>
  <w:style w:type="character" w:styleId="13">
    <w:name w:val="footnote reference"/>
    <w:basedOn w:val="10"/>
    <w:semiHidden/>
    <w:unhideWhenUsed/>
    <w:qFormat/>
    <w:uiPriority w:val="99"/>
    <w:rPr>
      <w:vertAlign w:val="superscript"/>
    </w:rPr>
  </w:style>
  <w:style w:type="character" w:customStyle="1" w:styleId="14">
    <w:name w:val="页眉 Char"/>
    <w:basedOn w:val="10"/>
    <w:link w:val="5"/>
    <w:qFormat/>
    <w:uiPriority w:val="99"/>
    <w:rPr>
      <w:rFonts w:ascii="Calibri" w:hAnsi="Calibri" w:eastAsia="宋体" w:cs="Times New Roman"/>
      <w:sz w:val="18"/>
      <w:szCs w:val="18"/>
    </w:rPr>
  </w:style>
  <w:style w:type="character" w:customStyle="1" w:styleId="15">
    <w:name w:val="页脚 Char"/>
    <w:basedOn w:val="10"/>
    <w:link w:val="4"/>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0"/>
    <w:link w:val="3"/>
    <w:semiHidden/>
    <w:qFormat/>
    <w:uiPriority w:val="99"/>
    <w:rPr>
      <w:rFonts w:ascii="Calibri" w:hAnsi="Calibri" w:eastAsia="宋体" w:cs="Times New Roman"/>
      <w:sz w:val="18"/>
      <w:szCs w:val="18"/>
    </w:rPr>
  </w:style>
  <w:style w:type="paragraph" w:customStyle="1" w:styleId="18">
    <w:name w:val="Default"/>
    <w:qFormat/>
    <w:uiPriority w:val="0"/>
    <w:pPr>
      <w:widowControl w:val="0"/>
      <w:autoSpaceDE w:val="0"/>
      <w:autoSpaceDN w:val="0"/>
      <w:adjustRightInd w:val="0"/>
    </w:pPr>
    <w:rPr>
      <w:rFonts w:ascii="ËÎÌå" w:hAnsi="ËÎÌå" w:eastAsia="宋体" w:cs="ËÎÌå"/>
      <w:lang w:val="en-US" w:eastAsia="zh-CN" w:bidi="ar-SA"/>
    </w:rPr>
  </w:style>
  <w:style w:type="character" w:customStyle="1" w:styleId="19">
    <w:name w:val="批注文字 Char"/>
    <w:basedOn w:val="10"/>
    <w:link w:val="2"/>
    <w:semiHidden/>
    <w:qFormat/>
    <w:uiPriority w:val="99"/>
    <w:rPr>
      <w:rFonts w:ascii="Calibri" w:hAnsi="Calibri"/>
      <w:kern w:val="2"/>
      <w:sz w:val="21"/>
      <w:szCs w:val="22"/>
    </w:rPr>
  </w:style>
  <w:style w:type="character" w:customStyle="1" w:styleId="20">
    <w:name w:val="批注主题 Char"/>
    <w:basedOn w:val="19"/>
    <w:link w:val="7"/>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605</Words>
  <Characters>3454</Characters>
  <Lines>28</Lines>
  <Paragraphs>8</Paragraphs>
  <TotalTime>6</TotalTime>
  <ScaleCrop>false</ScaleCrop>
  <LinksUpToDate>false</LinksUpToDate>
  <CharactersWithSpaces>4051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2020-07-03T08:21:00Z</dcterms:created>
  <dc:creator>user</dc:creator>
  <cp:lastModifiedBy>任翀</cp:lastModifiedBy>
  <cp:lastPrinted>2020-01-07T06:38:00Z</cp:lastPrinted>
  <dcterms:modified xsi:type="dcterms:W3CDTF">2025-07-25T02:16:45Z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999056A7048342358453C6206AB3C942_13</vt:lpwstr>
  </property>
</Properties>
</file>