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苏州农商银行</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2025年半年度第三支柱信息披露报告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本行为非国内系统重要性银行，根据《商业银行资本管理办法》（以下简称“</w:t>
      </w:r>
      <w:bookmarkStart w:id="0" w:name="_GoBack"/>
      <w:bookmarkEnd w:id="0"/>
      <w:r>
        <w:rPr>
          <w:rFonts w:hint="eastAsia" w:ascii="仿宋" w:hAnsi="仿宋" w:eastAsia="仿宋" w:cs="仿宋"/>
          <w:sz w:val="32"/>
          <w:szCs w:val="32"/>
          <w:lang w:val="en-US" w:eastAsia="zh-CN"/>
        </w:rPr>
        <w:t>办法”）附件22《商业银行信息披露内容和要求》的规定，本行按照办法第三章规定的并表范围披露相关信息。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92"/>
        <w:gridCol w:w="2055"/>
        <w:gridCol w:w="2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29" w:type="dxa"/>
            <w:gridSpan w:val="2"/>
            <w:vMerge w:val="restart"/>
            <w:tcBorders>
              <w:top w:val="single" w:color="000000" w:sz="4" w:space="0"/>
              <w:left w:val="single" w:color="000000"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55" w:type="dxa"/>
            <w:tcBorders>
              <w:top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138" w:type="dxa"/>
            <w:tcBorders>
              <w:top w:val="single" w:color="000000" w:sz="4" w:space="0"/>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29" w:type="dxa"/>
            <w:gridSpan w:val="2"/>
            <w:vMerge w:val="continue"/>
            <w:tcBorders>
              <w:left w:val="single" w:color="000000"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55" w:type="dxa"/>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2025年6月30日</w:t>
            </w:r>
          </w:p>
        </w:tc>
        <w:tc>
          <w:tcPr>
            <w:tcW w:w="2138" w:type="dxa"/>
            <w:tcBorders>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384" w:type="dxa"/>
            <w:gridSpan w:val="3"/>
            <w:tcBorders>
              <w:left w:val="single" w:color="000000" w:sz="4" w:space="0"/>
            </w:tcBorders>
            <w:shd w:val="clear" w:color="000000" w:fill="D9D9D9"/>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w:t>
            </w:r>
            <w:r>
              <w:rPr>
                <w:rFonts w:hint="eastAsia" w:ascii="仿宋_GB2312" w:hAnsi="仿宋" w:eastAsia="仿宋_GB2312" w:cs="Arial Unicode MS"/>
                <w:b/>
                <w:bCs/>
                <w:color w:val="000000" w:themeColor="text1"/>
                <w:sz w:val="24"/>
                <w:szCs w:val="24"/>
                <w:lang w:eastAsia="zh-CN"/>
                <w14:textFill>
                  <w14:solidFill>
                    <w14:schemeClr w14:val="tx1"/>
                  </w14:solidFill>
                </w14:textFill>
              </w:rPr>
              <w:t>数</w:t>
            </w:r>
            <w:r>
              <w:rPr>
                <w:rFonts w:hint="eastAsia" w:ascii="仿宋_GB2312" w:hAnsi="仿宋" w:eastAsia="仿宋_GB2312" w:cs="Arial Unicode MS"/>
                <w:b/>
                <w:bCs/>
                <w:color w:val="000000" w:themeColor="text1"/>
                <w:sz w:val="24"/>
                <w:szCs w:val="24"/>
                <w14:textFill>
                  <w14:solidFill>
                    <w14:schemeClr w14:val="tx1"/>
                  </w14:solidFill>
                </w14:textFill>
              </w:rPr>
              <w:t>额）</w:t>
            </w:r>
          </w:p>
        </w:tc>
        <w:tc>
          <w:tcPr>
            <w:tcW w:w="2138" w:type="dxa"/>
            <w:tcBorders>
              <w:right w:val="single" w:color="000000" w:sz="4" w:space="0"/>
            </w:tcBorders>
            <w:shd w:val="clear" w:color="000000" w:fill="D9D9D9"/>
          </w:tcPr>
          <w:p>
            <w:pPr>
              <w:snapToGrid w:val="0"/>
              <w:spacing w:line="480" w:lineRule="exact"/>
              <w:rPr>
                <w:rFonts w:hint="eastAsia"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核心一级资本净额</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17055461</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16972028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17055845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16972455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20389833</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20342455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风险加权资产</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156928295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157631067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核心一级资本充足率（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10.87</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10.87</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12.99</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12.91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储备资本要求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37" w:type="dxa"/>
            <w:tcBorders>
              <w:left w:val="single" w:color="000000" w:sz="4" w:space="0"/>
            </w:tcBorders>
            <w:shd w:val="clear" w:color="auto" w:fill="auto"/>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3692" w:type="dxa"/>
            <w:shd w:val="clear" w:color="auto" w:fill="auto"/>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shd w:val="clear" w:color="auto" w:fill="BEBEBE"/>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2138" w:type="dxa"/>
            <w:tcBorders>
              <w:right w:val="single" w:color="000000" w:sz="4" w:space="0"/>
            </w:tcBorders>
            <w:shd w:val="clear" w:color="auto" w:fill="BEBEBE"/>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其他各级资本要求（</w:t>
            </w:r>
            <w:r>
              <w:rPr>
                <w:rFonts w:ascii="仿宋_GB2312" w:hAnsi="仿宋" w:eastAsia="仿宋_GB2312" w:cs="Arial Unicode MS"/>
                <w:color w:val="000000" w:themeColor="text1"/>
                <w:sz w:val="24"/>
                <w:szCs w:val="24"/>
                <w:lang w:eastAsia="zh-CN"/>
                <w14:textFill>
                  <w14:solidFill>
                    <w14:schemeClr w14:val="tx1"/>
                  </w14:solidFill>
                </w14:textFill>
              </w:rPr>
              <w:t>%）（8+9+10）</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5.87</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5.77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调整后表内外资产余额</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252623055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255228499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1</w:t>
            </w:r>
            <w:r>
              <w:rPr>
                <w:rFonts w:ascii="仿宋_GB2312" w:hAnsi="仿宋" w:eastAsia="仿宋_GB2312" w:cs="Arial Unicode MS"/>
                <w:color w:val="000000" w:themeColor="text1"/>
                <w:sz w:val="24"/>
                <w:szCs w:val="24"/>
                <w:lang w:eastAsia="zh-CN"/>
                <w14:textFill>
                  <w14:solidFill>
                    <w14:schemeClr w14:val="tx1"/>
                  </w14:solidFill>
                </w14:textFill>
              </w:rPr>
              <w:t>4</w:t>
            </w:r>
            <w:r>
              <w:rPr>
                <w:rFonts w:hint="eastAsia" w:ascii="仿宋_GB2312" w:hAnsi="仿宋" w:eastAsia="仿宋_GB2312" w:cs="Arial Unicode MS"/>
                <w:color w:val="000000" w:themeColor="text1"/>
                <w:sz w:val="24"/>
                <w:szCs w:val="24"/>
                <w:lang w:eastAsia="zh-CN"/>
                <w14:textFill>
                  <w14:solidFill>
                    <w14:schemeClr w14:val="tx1"/>
                  </w14:solidFill>
                </w14:textFill>
              </w:rPr>
              <w:t>a</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杠杆率a</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合格优质流动性资产</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23689826</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26201059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w:t>
            </w:r>
            <w:r>
              <w:rPr>
                <w:rFonts w:hint="eastAsia" w:ascii="仿宋_GB2312" w:hAnsi="仿宋" w:eastAsia="仿宋_GB2312" w:cs="Arial Unicode MS"/>
                <w:color w:val="000000" w:themeColor="text1"/>
                <w:sz w:val="24"/>
                <w:szCs w:val="24"/>
                <w:lang w:eastAsia="zh-CN"/>
                <w14:textFill>
                  <w14:solidFill>
                    <w14:schemeClr w14:val="tx1"/>
                  </w14:solidFill>
                </w14:textFill>
              </w:rPr>
              <w:t>量</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22765452</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23401770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流动性覆盖率（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104.06</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111.96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000000" w:fill="D9D9D9"/>
            <w:vAlign w:val="top"/>
          </w:tcPr>
          <w:p>
            <w:pPr>
              <w:rPr>
                <w:rFonts w:hint="default" w:ascii="Arial" w:hAnsi="Arial" w:cs="Arial"/>
                <w:sz w:val="24"/>
                <w:szCs w:val="24"/>
              </w:rPr>
            </w:pPr>
          </w:p>
        </w:tc>
        <w:tc>
          <w:tcPr>
            <w:tcW w:w="2138" w:type="dxa"/>
            <w:tcBorders>
              <w:right w:val="single" w:color="000000" w:sz="4" w:space="0"/>
            </w:tcBorders>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162846775</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161884661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3692"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所需</w:t>
            </w:r>
            <w:r>
              <w:rPr>
                <w:rFonts w:hint="eastAsia" w:ascii="仿宋_GB2312" w:hAnsi="仿宋" w:eastAsia="仿宋_GB2312" w:cs="Arial Unicode MS"/>
                <w:color w:val="000000" w:themeColor="text1"/>
                <w:sz w:val="24"/>
                <w:szCs w:val="24"/>
                <w14:textFill>
                  <w14:solidFill>
                    <w14:schemeClr w14:val="tx1"/>
                  </w14:solidFill>
                </w14:textFill>
              </w:rPr>
              <w:t>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103390828</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101524266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3692"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净稳定资金比例（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157.51</w:t>
            </w:r>
          </w:p>
        </w:tc>
        <w:tc>
          <w:tcPr>
            <w:tcW w:w="2138" w:type="dxa"/>
            <w:tcBorders>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159.45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29" w:type="dxa"/>
            <w:gridSpan w:val="2"/>
            <w:tcBorders>
              <w:left w:val="single" w:color="000000" w:sz="4" w:space="0"/>
            </w:tcBorders>
            <w:shd w:val="clear" w:color="auto" w:fill="D8D8D8"/>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055" w:type="dxa"/>
            <w:shd w:val="clear" w:color="auto" w:fill="D8D8D8"/>
            <w:vAlign w:val="top"/>
          </w:tcPr>
          <w:p>
            <w:pPr>
              <w:rPr>
                <w:rFonts w:hint="default" w:ascii="Arial" w:hAnsi="Arial" w:cs="Arial"/>
                <w:sz w:val="24"/>
                <w:szCs w:val="24"/>
              </w:rPr>
            </w:pPr>
          </w:p>
        </w:tc>
        <w:tc>
          <w:tcPr>
            <w:tcW w:w="2138" w:type="dxa"/>
            <w:tcBorders>
              <w:right w:val="single" w:color="000000" w:sz="4" w:space="0"/>
            </w:tcBorders>
            <w:shd w:val="clear" w:color="auto" w:fill="D8D8D8"/>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bottom w:val="single" w:color="000000" w:sz="4" w:space="0"/>
            </w:tcBorders>
            <w:shd w:val="clear" w:color="auto" w:fill="FFFFFF"/>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21</w:t>
            </w:r>
          </w:p>
        </w:tc>
        <w:tc>
          <w:tcPr>
            <w:tcW w:w="3692" w:type="dxa"/>
            <w:tcBorders>
              <w:bottom w:val="single" w:color="000000" w:sz="4" w:space="0"/>
            </w:tcBorders>
            <w:shd w:val="clear" w:color="auto" w:fill="FFFFFF"/>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055" w:type="dxa"/>
            <w:tcBorders>
              <w:bottom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92.19</w:t>
            </w:r>
          </w:p>
        </w:tc>
        <w:tc>
          <w:tcPr>
            <w:tcW w:w="2138" w:type="dxa"/>
            <w:tcBorders>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94.84</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附表二：OV1风险加权资产概况</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7" w:type="dxa"/>
        <w:tblInd w:w="0" w:type="dxa"/>
        <w:tblLayout w:type="fixed"/>
        <w:tblCellMar>
          <w:top w:w="0" w:type="dxa"/>
          <w:left w:w="108" w:type="dxa"/>
          <w:bottom w:w="0" w:type="dxa"/>
          <w:right w:w="108" w:type="dxa"/>
        </w:tblCellMar>
      </w:tblPr>
      <w:tblGrid>
        <w:gridCol w:w="478"/>
        <w:gridCol w:w="1811"/>
        <w:gridCol w:w="2079"/>
        <w:gridCol w:w="2136"/>
        <w:gridCol w:w="2022"/>
        <w:gridCol w:w="1"/>
      </w:tblGrid>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restart"/>
            <w:tcBorders>
              <w:top w:val="single" w:color="000000" w:sz="4" w:space="0"/>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079" w:type="dxa"/>
            <w:tcBorders>
              <w:top w:val="single" w:color="000000"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136" w:type="dxa"/>
            <w:tcBorders>
              <w:top w:val="single" w:color="000000"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c>
          <w:tcPr>
            <w:tcW w:w="2022" w:type="dxa"/>
            <w:tcBorders>
              <w:top w:val="single" w:color="000000"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c</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4215" w:type="dxa"/>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202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最低资本要求</w:t>
            </w:r>
          </w:p>
        </w:tc>
      </w:tr>
      <w:tr>
        <w:tblPrEx>
          <w:tblLayout w:type="fixed"/>
          <w:tblCellMar>
            <w:top w:w="0" w:type="dxa"/>
            <w:left w:w="108" w:type="dxa"/>
            <w:bottom w:w="0" w:type="dxa"/>
            <w:right w:w="108" w:type="dxa"/>
          </w:tblCellMar>
        </w:tblPrEx>
        <w:trPr>
          <w:gridAfter w:val="1"/>
          <w:wAfter w:w="1" w:type="dxa"/>
          <w:trHeight w:val="330" w:hRule="atLeast"/>
        </w:trPr>
        <w:tc>
          <w:tcPr>
            <w:tcW w:w="2289" w:type="dxa"/>
            <w:gridSpan w:val="2"/>
            <w:vMerge w:val="continue"/>
            <w:tcBorders>
              <w:left w:val="single" w:color="000000" w:sz="4" w:space="0"/>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079" w:type="dxa"/>
            <w:tcBorders>
              <w:top w:val="nil"/>
              <w:left w:val="nil"/>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2025年6月30日</w:t>
            </w:r>
          </w:p>
        </w:tc>
        <w:tc>
          <w:tcPr>
            <w:tcW w:w="2136"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2025年3月31日</w:t>
            </w:r>
          </w:p>
        </w:tc>
        <w:tc>
          <w:tcPr>
            <w:tcW w:w="202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2025年6月30日</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信用风险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147910053</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147701544</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11832804</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市场风险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1550465</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2461745</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124037</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3</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操作风险</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7467778</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7467778</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597422</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4</w:t>
            </w:r>
          </w:p>
        </w:tc>
        <w:tc>
          <w:tcPr>
            <w:tcW w:w="1811"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交易账簿和银行账簿间转换的资本要求</w:t>
            </w:r>
          </w:p>
        </w:tc>
        <w:tc>
          <w:tcPr>
            <w:tcW w:w="20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213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c>
          <w:tcPr>
            <w:tcW w:w="202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000000"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811" w:type="dxa"/>
            <w:tcBorders>
              <w:top w:val="nil"/>
              <w:left w:val="single" w:color="auto" w:sz="4" w:space="0"/>
              <w:bottom w:val="single" w:color="000000"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4"/>
                <w:szCs w:val="24"/>
                <w:lang w:eastAsia="zh-CN"/>
                <w14:textFill>
                  <w14:solidFill>
                    <w14:schemeClr w14:val="tx1"/>
                  </w14:solidFill>
                </w14:textFill>
              </w:rPr>
            </w:pPr>
            <w:r>
              <w:rPr>
                <w:rFonts w:hint="eastAsia" w:ascii="仿宋_GB2312" w:hAnsi="仿宋" w:eastAsia="仿宋_GB2312" w:cs="Arial Unicode MS"/>
                <w:b/>
                <w:bCs/>
                <w:color w:val="000000" w:themeColor="text1"/>
                <w:sz w:val="24"/>
                <w:szCs w:val="24"/>
                <w:lang w:eastAsia="zh-CN"/>
                <w14:textFill>
                  <w14:solidFill>
                    <w14:schemeClr w14:val="tx1"/>
                  </w14:solidFill>
                </w14:textFill>
              </w:rPr>
              <w:t>合计</w:t>
            </w:r>
          </w:p>
        </w:tc>
        <w:tc>
          <w:tcPr>
            <w:tcW w:w="2079" w:type="dxa"/>
            <w:tcBorders>
              <w:top w:val="nil"/>
              <w:left w:val="nil"/>
              <w:bottom w:val="single" w:color="000000"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156928295</w:t>
            </w:r>
          </w:p>
        </w:tc>
        <w:tc>
          <w:tcPr>
            <w:tcW w:w="2136" w:type="dxa"/>
            <w:tcBorders>
              <w:top w:val="single" w:color="auto" w:sz="4" w:space="0"/>
              <w:left w:val="single" w:color="auto" w:sz="4" w:space="0"/>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157631067</w:t>
            </w:r>
          </w:p>
        </w:tc>
        <w:tc>
          <w:tcPr>
            <w:tcW w:w="2023"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12554264</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附表三：资本构成</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5895"/>
        <w:gridCol w:w="1275"/>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6415" w:type="dxa"/>
            <w:gridSpan w:val="2"/>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646"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415" w:type="dxa"/>
            <w:gridSpan w:val="2"/>
            <w:vMerge w:val="continue"/>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数额</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实收资本和资本公积可计入部分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4505300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留存收益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12730737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2a</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5979068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2b</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4598085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2c</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2153584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累计其他综合收益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703666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2877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17942580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w:t>
            </w:r>
            <w:r>
              <w:rPr>
                <w:rStyle w:val="4"/>
                <w:rFonts w:hAnsi="宋体"/>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审慎估值调整</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其他无形资产（土地使用权除外）（扣除递延税负债）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306418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依赖未来盈利的由经营亏损引起的净递延税资产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对未按公允价值计量的项目进行套期形成的现金流储备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损失准备缺口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资产证券化销售利得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自身信用风险变化导致其负债公允价值变化带来的未实现损益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确定受益类的养老金资产净额（扣除递延税负债）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直接或间接持有本银行的股票</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85615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对未并表金融机构大额少数资本投资中的核心一级资本和其他依赖于银行未来盈利的净递延税资产的未扣除部分超过核心一级资本15%的应扣除金额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495087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其中：应在对金融机构大额少数资本投资中扣除的金额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285957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其中：应在其他依赖于银行未来盈利的净递延税资产中扣除的金额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209130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其他应在核心一级资本中扣除的项目合计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应从其他一级资本和二级资本中扣除的未扣缺口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887119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17055461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其他一级资本工具及其溢价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其中：权益部分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其中：负债部分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其他应在其他一级资本中扣除的项目合计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17055845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1507171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767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超额损失准备可计入部分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1826050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3333988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对未并表金融机构小额少数资本投资中的二级资本中应扣除金额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其他应在二级资本中扣除的项目合计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3333988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总资本净额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20389833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风险加权资产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156928295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10.87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10.87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12.9931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其他各级资本要求（%）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其中：储备资本要求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其中：逆周期资本要求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其中：全球系统重要性银行或国内系统重要性银行附加资本要求</w:t>
            </w:r>
          </w:p>
        </w:tc>
        <w:tc>
          <w:tcPr>
            <w:tcW w:w="1275" w:type="dxa"/>
            <w:tcBorders>
              <w:top w:val="nil"/>
              <w:left w:val="nil"/>
              <w:bottom w:val="single" w:color="000000" w:sz="8" w:space="0"/>
              <w:right w:val="single" w:color="000000" w:sz="8" w:space="0"/>
            </w:tcBorders>
            <w:shd w:val="clear" w:color="auto" w:fill="BEBEBE"/>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满足最低资本要求后的可用核心一级资本净额占风险加权资产的比例（%）</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5.87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对未并表金融机构的小额少数资本投资中未扣除部分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302120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对未并表金融机构的大额少数资本投资中未扣除部分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1763616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权重法下，实际计提的超额损失准备金额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4276276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5895" w:type="dxa"/>
            <w:tcBorders>
              <w:top w:val="nil"/>
              <w:left w:val="nil"/>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权重法下，可计入二级资本超额损失准备的数额</w:t>
            </w:r>
          </w:p>
        </w:tc>
        <w:tc>
          <w:tcPr>
            <w:tcW w:w="1275"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1826050</w:t>
            </w:r>
          </w:p>
        </w:tc>
        <w:tc>
          <w:tcPr>
            <w:tcW w:w="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附表四：集团财务并表和监管并表下的资产负债表差异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2"/>
        <w:gridCol w:w="3370"/>
        <w:gridCol w:w="1911"/>
        <w:gridCol w:w="1911"/>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3942"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c>
          <w:tcPr>
            <w:tcW w:w="57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942" w:type="dxa"/>
            <w:gridSpan w:val="2"/>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财务并表范围下的资产负债表</w:t>
            </w: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监管并表范围下的资产负债表</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现金及存放中央银行款项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9899020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9882875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存放同业款项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2018927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2019105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贵金属</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拆出资金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7026518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7023690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97342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122145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买入返售金融资产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其他应收款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185735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发放贷款和垫款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131961313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136408616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金融投资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66618172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65970879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其中：交易性金融资产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11329197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11338826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30287765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29922647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24404115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24210905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其中：其他权益工具投资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597095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498500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长期股权投资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1688714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1575731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投资性房地产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19919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1304700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1311418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在建工程</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63496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97912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使用权资产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86446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186141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无形资产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445158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408016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其中：其他无形资产（土地使用权除外）</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306418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长期待摊费用</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28181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抵债资产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1401666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1366719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617443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757474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减：各项资产减值损失准备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-4625709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223248834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222718926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向中央银行借款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6228257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同业及其他金融机构存放款项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24997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22329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拆入资金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4173758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4171586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交易性金融负债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1066485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1066485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98527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122532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卖出回购金融资产款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7494329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13708529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吸收存款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178047945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173544296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应付债券</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6246788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6246788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应付职工薪酬</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168922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369312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应交税费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314568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267679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144660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租赁负债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77514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76930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其中：与商誉相关的递延所得税负债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其中：与无形资产相关的递延所得税负债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预计负债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173290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340275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564326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4683596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204679706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204764997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实收资本（或股本）</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2018541</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2018541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其中：可计入核心一级资本的数额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2018541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2018541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其中：可计入其他一级资本的数额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其他权益工具</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其中：优先股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永续债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2418583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2486759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其他综合收益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632640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703666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5979150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5979068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4618413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4598085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2887892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2153584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少数股东权益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13909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14226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60</w:t>
            </w:r>
          </w:p>
        </w:tc>
        <w:tc>
          <w:tcPr>
            <w:tcW w:w="3370"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所有者权益合计</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18569128</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17953929</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附表五：LR1杠杆率监管项目与相关会计项目的差异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4"/>
                <w:szCs w:val="24"/>
                <w:lang w:eastAsia="zh-CN"/>
                <w14:textFill>
                  <w14:solidFill>
                    <w14:schemeClr w14:val="tx1"/>
                  </w14:solidFill>
                </w14:textFill>
              </w:rPr>
            </w:pPr>
          </w:p>
        </w:tc>
        <w:tc>
          <w:tcPr>
            <w:tcW w:w="1932" w:type="dxa"/>
            <w:tcBorders>
              <w:top w:val="single" w:color="000000" w:sz="4" w:space="0"/>
              <w:left w:val="nil"/>
              <w:bottom w:val="single" w:color="auto" w:sz="4" w:space="0"/>
              <w:right w:val="single" w:color="000000" w:sz="4" w:space="0"/>
            </w:tcBorders>
            <w:vAlign w:val="bottom"/>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并表总资产</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223248834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-529908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客户资产调整项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衍生工具调整项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176861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证券融资交易调整项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211381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表外项目调整项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30680818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资产证券化交易调整项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未结算金融资产调整项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现金池调整项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存款准备金调整项（如有）</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审慎估值和减值准备调整项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-1164932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其他调整项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4"/>
                <w:szCs w:val="24"/>
                <w14:textFill>
                  <w14:solidFill>
                    <w14:schemeClr w14:val="tx1"/>
                  </w14:solidFill>
                </w14:textFill>
              </w:rPr>
            </w:pPr>
            <w:r>
              <w:rPr>
                <w:rFonts w:ascii="仿宋_GB2312" w:hAnsi="宋体" w:eastAsia="仿宋_GB2312" w:cs="宋体"/>
                <w:b/>
                <w:bCs/>
                <w:color w:val="000000" w:themeColor="text1"/>
                <w:sz w:val="24"/>
                <w:szCs w:val="24"/>
                <w:lang w:eastAsia="zh-CN"/>
                <w14:textFill>
                  <w14:solidFill>
                    <w14:schemeClr w14:val="tx1"/>
                  </w14:solidFill>
                </w14:textFill>
              </w:rPr>
              <w:t>13</w:t>
            </w:r>
          </w:p>
        </w:tc>
        <w:tc>
          <w:tcPr>
            <w:tcW w:w="5985" w:type="dxa"/>
            <w:tcBorders>
              <w:top w:val="nil"/>
              <w:left w:val="nil"/>
              <w:bottom w:val="single" w:color="000000" w:sz="4" w:space="0"/>
              <w:right w:val="single" w:color="auto" w:sz="4" w:space="0"/>
            </w:tcBorders>
            <w:vAlign w:val="center"/>
          </w:tcPr>
          <w:p>
            <w:pPr>
              <w:snapToGrid w:val="0"/>
              <w:spacing w:line="480" w:lineRule="exact"/>
              <w:rPr>
                <w:rFonts w:ascii="仿宋_GB2312"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lang w:eastAsia="zh-CN"/>
                <w14:textFill>
                  <w14:solidFill>
                    <w14:schemeClr w14:val="tx1"/>
                  </w14:solidFill>
                </w14:textFill>
              </w:rPr>
              <w:t>调整后表内外资产余额</w:t>
            </w:r>
          </w:p>
        </w:tc>
        <w:tc>
          <w:tcPr>
            <w:tcW w:w="1932" w:type="dxa"/>
            <w:tcBorders>
              <w:top w:val="nil"/>
              <w:left w:val="nil"/>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252623055</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附表六：LR2杠杆率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19"/>
        <w:gridCol w:w="4786"/>
        <w:gridCol w:w="1508"/>
        <w:gridCol w:w="2"/>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restart"/>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　</w:t>
            </w:r>
          </w:p>
        </w:tc>
        <w:tc>
          <w:tcPr>
            <w:tcW w:w="1508" w:type="dxa"/>
            <w:tcBorders>
              <w:top w:val="single" w:color="000000" w:sz="4" w:space="0"/>
              <w:left w:val="nil"/>
              <w:bottom w:val="single" w:color="auto" w:sz="4" w:space="0"/>
              <w:right w:val="single" w:color="auto" w:sz="4" w:space="0"/>
            </w:tcBorders>
            <w:vAlign w:val="bottom"/>
          </w:tcPr>
          <w:p>
            <w:pPr>
              <w:snapToGrid w:val="0"/>
              <w:spacing w:line="480"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a</w:t>
            </w:r>
          </w:p>
        </w:tc>
        <w:tc>
          <w:tcPr>
            <w:tcW w:w="1509" w:type="dxa"/>
            <w:gridSpan w:val="2"/>
            <w:tcBorders>
              <w:top w:val="single" w:color="000000"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continue"/>
            <w:tcBorders>
              <w:top w:val="single" w:color="auto" w:sz="4" w:space="0"/>
              <w:left w:val="single" w:color="000000" w:sz="4" w:space="0"/>
              <w:bottom w:val="single" w:color="auto" w:sz="4" w:space="0"/>
              <w:right w:val="single" w:color="auto" w:sz="4" w:space="0"/>
            </w:tcBorders>
            <w:vAlign w:val="center"/>
          </w:tcPr>
          <w:p>
            <w:pPr>
              <w:spacing w:line="480" w:lineRule="exact"/>
              <w:rPr>
                <w:rFonts w:ascii="仿宋_GB2312" w:eastAsia="仿宋_GB2312" w:cs="宋体"/>
                <w:color w:val="000000" w:themeColor="text1"/>
                <w:sz w:val="24"/>
                <w:szCs w:val="24"/>
                <w:lang w:eastAsia="zh-CN"/>
                <w14:textFill>
                  <w14:solidFill>
                    <w14:schemeClr w14:val="tx1"/>
                  </w14:solidFill>
                </w14:textFill>
              </w:rPr>
            </w:pPr>
          </w:p>
        </w:tc>
        <w:tc>
          <w:tcPr>
            <w:tcW w:w="1508" w:type="dxa"/>
            <w:tcBorders>
              <w:top w:val="nil"/>
              <w:left w:val="nil"/>
              <w:bottom w:val="single" w:color="auto" w:sz="4" w:space="0"/>
              <w:right w:val="single" w:color="auto"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2025年6月30日</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kern w:val="2"/>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2025年3月31日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7015" w:type="dxa"/>
            <w:gridSpan w:val="4"/>
            <w:tcBorders>
              <w:top w:val="single" w:color="auto" w:sz="4" w:space="0"/>
              <w:left w:val="single" w:color="000000" w:sz="4" w:space="0"/>
              <w:bottom w:val="single" w:color="auto" w:sz="4" w:space="0"/>
              <w:right w:val="single" w:color="auto" w:sz="4" w:space="0"/>
            </w:tcBorders>
            <w:shd w:val="clear" w:color="auto" w:fill="A6A6A6"/>
            <w:vAlign w:val="bottom"/>
          </w:tcPr>
          <w:p>
            <w:pPr>
              <w:snapToGrid w:val="0"/>
              <w:spacing w:line="480" w:lineRule="exact"/>
              <w:rPr>
                <w:rFonts w:ascii="仿宋_GB2312"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kern w:val="2"/>
                <w:sz w:val="24"/>
                <w:szCs w:val="24"/>
                <w14:textFill>
                  <w14:solidFill>
                    <w14:schemeClr w14:val="tx1"/>
                  </w14:solidFill>
                </w14:textFill>
              </w:rPr>
              <w:t>表内资产余额</w:t>
            </w:r>
          </w:p>
        </w:tc>
        <w:tc>
          <w:tcPr>
            <w:tcW w:w="1507" w:type="dxa"/>
            <w:tcBorders>
              <w:top w:val="single" w:color="auto" w:sz="4" w:space="0"/>
              <w:left w:val="single" w:color="auto" w:sz="4" w:space="0"/>
              <w:bottom w:val="single" w:color="auto" w:sz="4" w:space="0"/>
              <w:right w:val="single" w:color="000000" w:sz="4" w:space="0"/>
            </w:tcBorders>
            <w:shd w:val="clear" w:color="auto" w:fill="A6A6A6"/>
            <w:vAlign w:val="bottom"/>
          </w:tcPr>
          <w:p>
            <w:pPr>
              <w:snapToGrid w:val="0"/>
              <w:spacing w:line="480" w:lineRule="exact"/>
              <w:rPr>
                <w:rFonts w:hint="eastAsia" w:ascii="仿宋_GB2312" w:hAnsi="宋体" w:eastAsia="仿宋_GB2312" w:cs="宋体"/>
                <w:b/>
                <w:color w:val="000000" w:themeColor="text1"/>
                <w:kern w:val="2"/>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表内资产（除衍生工具和证券融资交易外）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227222490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225988708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-4625709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-4765505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减：一级资本扣除项</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-887119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-769145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调整后的表内资产余额（衍生工具和证券融资交易除外）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221709662</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220454059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的重置成本（扣除合格保证金，考虑双边净额结算协议的影响）</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122145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153136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的潜在风险暴露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176861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304864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已从资产负债表中扣除的抵质押品总和</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减：因提供合格保证金形成的应收资产</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的名义本金</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衍生</w:t>
            </w:r>
            <w:r>
              <w:rPr>
                <w:rFonts w:hint="eastAsia" w:ascii="仿宋_GB2312" w:hAnsi="宋体" w:eastAsia="仿宋_GB2312" w:cs="宋体"/>
                <w:b/>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b/>
                <w:bCs/>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299006</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458000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证券融资交易的会计资产余额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28500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减：可以扣除的证券融资交易资产余额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证券融资交易的交易对手信用风险暴露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211381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190559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代理证券融资交易形成的证券融资交易资产余额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211381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219059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109044761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107020283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19</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减：因信用转换调整的表外项目余额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-78363943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-72648446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20</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-277813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-274455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21</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30403005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34097381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一级资本</w:t>
            </w:r>
            <w:r>
              <w:rPr>
                <w:rFonts w:hint="eastAsia" w:ascii="仿宋_GB2312" w:hAnsi="宋体" w:eastAsia="仿宋_GB2312" w:cs="宋体"/>
                <w:color w:val="000000" w:themeColor="text1"/>
                <w:kern w:val="2"/>
                <w:sz w:val="24"/>
                <w:szCs w:val="24"/>
                <w:lang w:eastAsia="zh-CN"/>
                <w14:textFill>
                  <w14:solidFill>
                    <w14:schemeClr w14:val="tx1"/>
                  </w14:solidFill>
                </w14:textFill>
              </w:rPr>
              <w:t>净额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17055845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16972455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调整后表内外资产余额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252623055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255228499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r>
              <w:rPr>
                <w:rFonts w:ascii="仿宋_GB2312" w:hAnsi="宋体" w:eastAsia="仿宋_GB2312" w:cs="宋体"/>
                <w:color w:val="000000" w:themeColor="text1"/>
                <w:kern w:val="2"/>
                <w:sz w:val="24"/>
                <w:szCs w:val="24"/>
                <w14:textFill>
                  <w14:solidFill>
                    <w14:schemeClr w14:val="tx1"/>
                  </w14:solidFill>
                </w14:textFill>
              </w:rPr>
              <w:t>a</w:t>
            </w:r>
          </w:p>
        </w:tc>
        <w:tc>
          <w:tcPr>
            <w:tcW w:w="4786"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r>
              <w:rPr>
                <w:rFonts w:ascii="仿宋_GB2312" w:hAnsi="宋体" w:eastAsia="仿宋_GB2312" w:cs="宋体"/>
                <w:color w:val="000000" w:themeColor="text1"/>
                <w:kern w:val="2"/>
                <w:sz w:val="24"/>
                <w:szCs w:val="24"/>
                <w:lang w:eastAsia="zh-CN"/>
                <w14:textFill>
                  <w14:solidFill>
                    <w14:schemeClr w14:val="tx1"/>
                  </w14:solidFill>
                </w14:textFill>
              </w:rPr>
              <w:t>a</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single" w:color="auto" w:sz="4" w:space="0"/>
              <w:left w:val="nil"/>
              <w:bottom w:val="single" w:color="000000"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最低杠杆率要求</w:t>
            </w:r>
          </w:p>
        </w:tc>
        <w:tc>
          <w:tcPr>
            <w:tcW w:w="1508" w:type="dxa"/>
            <w:tcBorders>
              <w:top w:val="single" w:color="auto" w:sz="4" w:space="0"/>
              <w:left w:val="nil"/>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c>
          <w:tcPr>
            <w:tcW w:w="1509"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lang w:val="en-US" w:eastAsia="zh-CN"/>
        </w:rPr>
        <w:br w:type="page"/>
      </w:r>
    </w:p>
    <w:p>
      <w:pPr>
        <w:snapToGrid w:val="0"/>
        <w:spacing w:line="480" w:lineRule="exac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附表七：资本工具主要特征</w:t>
      </w:r>
    </w:p>
    <w:p>
      <w:pPr>
        <w:snapToGrid w:val="0"/>
        <w:spacing w:line="480" w:lineRule="exact"/>
        <w:jc w:val="righ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单位：千元</w:t>
      </w: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2"/>
        <w:gridCol w:w="1726"/>
        <w:gridCol w:w="3913"/>
        <w:gridCol w:w="3913"/>
        <w:gridCol w:w="3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序号</w:t>
            </w:r>
          </w:p>
        </w:tc>
        <w:tc>
          <w:tcPr>
            <w:tcW w:w="1726"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资本工具主要特征</w:t>
            </w:r>
          </w:p>
        </w:tc>
        <w:tc>
          <w:tcPr>
            <w:tcW w:w="3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普通股</w:t>
            </w:r>
          </w:p>
        </w:tc>
        <w:tc>
          <w:tcPr>
            <w:tcW w:w="3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c>
          <w:tcPr>
            <w:tcW w:w="3914"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发行机构</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苏农银行</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标识码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603323</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CND1000471J5</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CND10007Z6W1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适用法律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中国大陆</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资本层级</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其中：适用法人/集团层面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法人和集团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核心一级资本工具</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可计入监管资本的数额（最近一期报告日数额，单位：百万元人民币）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687</w:t>
            </w:r>
            <w:r>
              <w:rPr>
                <w:rFonts w:hint="eastAsia" w:ascii="仿宋_GB2312" w:hAnsi="宋体" w:eastAsia="仿宋_GB2312" w:cs="仿宋_GB2312"/>
                <w:i w:val="0"/>
                <w:color w:val="000000"/>
                <w:kern w:val="0"/>
                <w:sz w:val="20"/>
                <w:szCs w:val="20"/>
                <w:u w:val="none"/>
                <w:lang w:val="en-US" w:eastAsia="zh-CN" w:bidi="ar"/>
              </w:rPr>
              <w:t>.</w:t>
            </w:r>
            <w:r>
              <w:rPr>
                <w:rFonts w:hint="default" w:ascii="仿宋_GB2312" w:hAnsi="宋体" w:eastAsia="仿宋_GB2312" w:cs="仿宋_GB2312"/>
                <w:i w:val="0"/>
                <w:color w:val="000000"/>
                <w:kern w:val="0"/>
                <w:sz w:val="20"/>
                <w:szCs w:val="20"/>
                <w:u w:val="none"/>
                <w:lang w:val="en-US" w:eastAsia="zh-CN" w:bidi="ar"/>
              </w:rPr>
              <w:t>7</w:t>
            </w:r>
            <w:r>
              <w:rPr>
                <w:rFonts w:hint="eastAsia" w:ascii="仿宋_GB2312" w:hAnsi="宋体" w:eastAsia="仿宋_GB2312" w:cs="仿宋_GB2312"/>
                <w:i w:val="0"/>
                <w:color w:val="000000"/>
                <w:kern w:val="0"/>
                <w:sz w:val="20"/>
                <w:szCs w:val="20"/>
                <w:u w:val="none"/>
                <w:lang w:val="en-US" w:eastAsia="zh-CN" w:bidi="ar"/>
              </w:rPr>
              <w:t>8</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504.41</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工具面值（单位：百万元人民币）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111.50</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会计处理</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权益</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初始发行日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2016年11月29日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2021年4月15日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2024年5月22日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是否存在固定期限</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其中：原始到期日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无到期日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发行人赎回（需经监管认可）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其中：赎回日期及额度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赎回日期：2026年4月19日，赎回额度：5亿元</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赎回日期：2029/5/24，赎回额度：10亿元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其中：后续赎回日期（如有）</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分红或派息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其中：固定或浮动分红/派息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浮动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其中：票面利率及相关指标，如采用的基准利率等</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其中：是否存在股息制动机制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其中：是否可自主取消分红或派息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完全自由裁量</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其中：是否有赎回激励机制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其中：累计或非累计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非累积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是否可转股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其中：若可转股，则说明转股触发条件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其中：若可转股，则说明全部转股还是部分转股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其中：若可转股，则说明转股价格确定方式</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其中：若可转股，则说明是否为强制性转换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其中：若可转股，则说明转换后工具的发行人</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其中：若减记，则说明减记触发条件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无法生存触发事件指以下两者中的较早者：（1）国家金融监督管理局认定若不进行减记，发行人将无法生存；（2）相关部门认定若不进行公共部门注资或提供同等效力的支持，发行人将无法生存。减记部分不可恢复，减记部分尚未支付的累积应付利息亦将不再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其中：若减记，则说明是部分减记还是全部减记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其中：若减记，则说明是永久减记还是临时减记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其中：若临时减记，则说明账面价值恢复机制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33a</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次级类型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726"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清算时清偿顺序（说明清偿顺序更高级的工具类型）</w:t>
            </w:r>
          </w:p>
        </w:tc>
        <w:tc>
          <w:tcPr>
            <w:tcW w:w="391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期债券本金的清偿顺序和利息支付顺序在存款人和一般债权人之后，股权资本、其他一级资本工具和混合资本债券之前;本期债券与发行人已发行的与本期债券偿还顺序相同的其他次级债务处于同一清偿顺序,与未来可能发行的与本期债券偿还顺序相同的其他二级资本工具同顺位受偿。除非发行人结业、倒闭或清算，投资者不能要求发行人加速偿还本期债券的本金。本期债券的派息将遵守监管当局现时有效的监管规定。除发生触发事件外，本期债券的本金和利息不可递延支付或取消支付。</w:t>
            </w:r>
          </w:p>
        </w:tc>
        <w:tc>
          <w:tcPr>
            <w:tcW w:w="3914"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次债券本金的清偿顺序和利息支付顺序均在存款人和一般债权人之后，股权资本、其他一级资本工具和混合资本债券之前;本次债券与发行人已发行的与本次债券偿还顺序相同的其他次级债务处于同一清偿顺序，与未来可能发行的与本次债券偿还顺序相同的其他二级资本工具同顺位受偿。除非发行人进入破产清算程序，投资者不能要求发行人加速偿还本次债券的本金和利息。</w:t>
            </w:r>
          </w:p>
        </w:tc>
      </w:tr>
    </w:tbl>
    <w:p>
      <w:pPr>
        <w:rPr>
          <w:rFonts w:hint="eastAsia" w:ascii="仿宋" w:hAnsi="仿宋" w:eastAsia="仿宋" w:cs="仿宋"/>
          <w:sz w:val="20"/>
          <w:szCs w:val="20"/>
          <w:lang w:val="en-US" w:eastAsia="zh-CN"/>
        </w:rPr>
      </w:pPr>
    </w:p>
    <w:p>
      <w:pPr>
        <w:rPr>
          <w:rFonts w:hint="eastAsia" w:ascii="仿宋" w:hAnsi="仿宋" w:eastAsia="仿宋" w:cs="仿宋"/>
          <w:sz w:val="32"/>
          <w:szCs w:val="32"/>
          <w:lang w:val="en-US" w:eastAsia="zh-CN"/>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45759A"/>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6E45A7E"/>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9A6400F"/>
    <w:rsid w:val="0A621877"/>
    <w:rsid w:val="0A89318C"/>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9071FB"/>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AEA1082"/>
    <w:rsid w:val="4B0109A7"/>
    <w:rsid w:val="4B033713"/>
    <w:rsid w:val="4B4C7B77"/>
    <w:rsid w:val="4B8550AA"/>
    <w:rsid w:val="4BC22DAE"/>
    <w:rsid w:val="4BD1705A"/>
    <w:rsid w:val="4BED0959"/>
    <w:rsid w:val="4C220DDE"/>
    <w:rsid w:val="4C8E3EBE"/>
    <w:rsid w:val="4CD931A8"/>
    <w:rsid w:val="4CE9025F"/>
    <w:rsid w:val="4CEC21F1"/>
    <w:rsid w:val="4D041857"/>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43D4D1C"/>
    <w:rsid w:val="551556FB"/>
    <w:rsid w:val="551A468B"/>
    <w:rsid w:val="55212294"/>
    <w:rsid w:val="5555589B"/>
    <w:rsid w:val="556805E1"/>
    <w:rsid w:val="556B24C0"/>
    <w:rsid w:val="556B3318"/>
    <w:rsid w:val="55A857A7"/>
    <w:rsid w:val="56590FAA"/>
    <w:rsid w:val="567E4BE9"/>
    <w:rsid w:val="56907E9A"/>
    <w:rsid w:val="56F3559A"/>
    <w:rsid w:val="56F80400"/>
    <w:rsid w:val="571E4321"/>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AC374B"/>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AA437F"/>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2025-08-28T00:37:29Z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D5A3CDEC5AE24629A666A381212DC011</vt:lpwstr>
  </property>
</Properties>
</file>