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eastAsia="黑体"/>
          <w:b/>
          <w:kern w:val="0"/>
          <w:sz w:val="30"/>
          <w:szCs w:val="30"/>
        </w:rPr>
      </w:pPr>
      <w:bookmarkStart w:id="0" w:name="_GoBack"/>
      <w:bookmarkEnd w:id="0"/>
    </w:p>
    <w:p>
      <w:pPr>
        <w:tabs>
          <w:tab w:val="center" w:pos="4590"/>
        </w:tabs>
        <w:jc w:val="center"/>
        <w:rPr>
          <w:rFonts w:eastAsia="黑体"/>
          <w:b/>
          <w:kern w:val="0"/>
          <w:sz w:val="30"/>
          <w:szCs w:val="30"/>
        </w:rPr>
      </w:pPr>
      <w:r>
        <w:rPr>
          <w:rFonts w:hint="eastAsia" w:eastAsia="黑体"/>
          <w:b/>
          <w:kern w:val="0"/>
          <w:sz w:val="30"/>
          <w:szCs w:val="30"/>
        </w:rPr>
        <w:t>江苏苏州农村商业银行股份</w:t>
      </w:r>
      <w:r>
        <w:rPr>
          <w:rFonts w:eastAsia="黑体"/>
          <w:b/>
          <w:kern w:val="0"/>
          <w:sz w:val="30"/>
          <w:szCs w:val="30"/>
        </w:rPr>
        <w:t>有限公司</w:t>
      </w:r>
    </w:p>
    <w:p>
      <w:pPr>
        <w:jc w:val="center"/>
        <w:rPr>
          <w:rFonts w:eastAsia="黑体"/>
          <w:b/>
          <w:kern w:val="0"/>
          <w:sz w:val="30"/>
          <w:szCs w:val="30"/>
        </w:rPr>
      </w:pPr>
      <w:r>
        <w:rPr>
          <w:rFonts w:hint="eastAsia" w:eastAsia="黑体"/>
          <w:b/>
          <w:kern w:val="0"/>
          <w:sz w:val="30"/>
          <w:szCs w:val="30"/>
        </w:rPr>
        <w:t>“锦鲤鱼鑫动季享”净值型人民币理财产品说明书</w:t>
      </w:r>
    </w:p>
    <w:p>
      <w:pPr>
        <w:jc w:val="left"/>
        <w:rPr>
          <w:rFonts w:ascii="黑体" w:eastAsia="黑体" w:cs="黑体"/>
          <w:b/>
          <w:kern w:val="0"/>
          <w:sz w:val="28"/>
          <w:szCs w:val="28"/>
        </w:rPr>
      </w:pPr>
      <w:r>
        <w:rPr>
          <w:rFonts w:hint="eastAsia" w:ascii="黑体" w:eastAsia="黑体" w:cs="黑体"/>
          <w:b/>
          <w:kern w:val="0"/>
          <w:sz w:val="28"/>
          <w:szCs w:val="28"/>
        </w:rPr>
        <w:t>重要须知：</w:t>
      </w:r>
    </w:p>
    <w:p>
      <w:pPr>
        <w:numPr>
          <w:ilvl w:val="0"/>
          <w:numId w:val="1"/>
        </w:numPr>
        <w:rPr>
          <w:rFonts w:asciiTheme="minorEastAsia" w:hAnsiTheme="minorEastAsia" w:eastAsiaTheme="minorEastAsia" w:cstheme="minorEastAsia"/>
          <w:b/>
          <w:bCs/>
          <w:iCs/>
          <w:szCs w:val="21"/>
        </w:rPr>
      </w:pPr>
      <w:r>
        <w:rPr>
          <w:rFonts w:hint="eastAsia" w:asciiTheme="minorEastAsia" w:hAnsiTheme="minorEastAsia" w:eastAsiaTheme="minorEastAsia" w:cstheme="minorEastAsia"/>
          <w:b/>
          <w:bCs/>
          <w:iCs/>
          <w:szCs w:val="21"/>
        </w:rPr>
        <w:t>本说明书与</w:t>
      </w:r>
      <w:r>
        <w:rPr>
          <w:rFonts w:hint="eastAsia" w:asciiTheme="minorEastAsia" w:hAnsiTheme="minorEastAsia" w:eastAsiaTheme="minorEastAsia" w:cstheme="minorEastAsia"/>
          <w:b/>
          <w:bCs/>
        </w:rPr>
        <w:t>《理财产品风险揭示书》、《投资者权益须知》、《理财产品销售协议书》及《理财产品投资协议书》等有关文件共同构成一份完整且不可分割的理财产品销售文件</w:t>
      </w:r>
      <w:r>
        <w:rPr>
          <w:rFonts w:hint="eastAsia" w:asciiTheme="minorEastAsia" w:hAnsiTheme="minorEastAsia" w:eastAsiaTheme="minorEastAsia" w:cstheme="minorEastAsia"/>
          <w:b/>
          <w:bCs/>
          <w:iCs/>
          <w:szCs w:val="21"/>
        </w:rPr>
        <w:t>。</w:t>
      </w:r>
    </w:p>
    <w:p>
      <w:pPr>
        <w:numPr>
          <w:ilvl w:val="0"/>
          <w:numId w:val="1"/>
        </w:numPr>
        <w:rPr>
          <w:rFonts w:asciiTheme="minorEastAsia" w:hAnsiTheme="minorEastAsia" w:eastAsiaTheme="minorEastAsia" w:cstheme="minorEastAsia"/>
          <w:b/>
          <w:bCs/>
          <w:iCs/>
          <w:szCs w:val="21"/>
        </w:rPr>
      </w:pPr>
      <w:r>
        <w:rPr>
          <w:rFonts w:hint="eastAsia" w:asciiTheme="minorEastAsia" w:hAnsiTheme="minorEastAsia" w:eastAsiaTheme="minorEastAsia" w:cstheme="minorEastAsia"/>
          <w:b/>
          <w:bCs/>
          <w:iCs/>
          <w:szCs w:val="21"/>
        </w:rPr>
        <w:t>本理财产品为非保本浮动收益类理财产品，不保证本金和收益。本理财产品的任何业绩比较基准、测算收益、</w:t>
      </w:r>
      <w:r>
        <w:rPr>
          <w:rFonts w:asciiTheme="minorEastAsia" w:hAnsiTheme="minorEastAsia" w:eastAsiaTheme="minorEastAsia" w:cstheme="minorEastAsia"/>
          <w:b/>
          <w:bCs/>
          <w:iCs/>
          <w:szCs w:val="21"/>
        </w:rPr>
        <w:t>历史年化收益率</w:t>
      </w:r>
      <w:r>
        <w:rPr>
          <w:rFonts w:hint="eastAsia" w:asciiTheme="minorEastAsia" w:hAnsiTheme="minorEastAsia" w:eastAsiaTheme="minorEastAsia" w:cstheme="minorEastAsia"/>
          <w:b/>
          <w:bCs/>
          <w:iCs/>
          <w:szCs w:val="21"/>
        </w:rPr>
        <w:t>或类似表述均属不具有法律约束力的用语，不代表投资者可能获得的实际收益，亦不构成苏州农商银行对本理财产品的任何收益承诺。</w:t>
      </w:r>
    </w:p>
    <w:p>
      <w:pPr>
        <w:numPr>
          <w:ilvl w:val="0"/>
          <w:numId w:val="1"/>
        </w:numP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请仔细阅读“风险揭示书”并谨慎参考本理财产品的内部风险评级。</w:t>
      </w:r>
      <w:r>
        <w:rPr>
          <w:rFonts w:hint="eastAsia" w:asciiTheme="minorEastAsia" w:hAnsiTheme="minorEastAsia" w:eastAsiaTheme="minorEastAsia" w:cstheme="minorEastAsia"/>
          <w:b/>
          <w:bCs/>
          <w:iCs/>
          <w:szCs w:val="21"/>
        </w:rPr>
        <w:t>在购买本理财产品前，投资者应确保自己完全理解该项投资的性质及所涉及的风险，并根据自身风险承受能力等情况审慎独立做出投资决策，不受任何诱导、误导。</w:t>
      </w:r>
    </w:p>
    <w:p>
      <w:pPr>
        <w:numPr>
          <w:ilvl w:val="0"/>
          <w:numId w:val="1"/>
        </w:numPr>
        <w:spacing w:line="300" w:lineRule="exact"/>
        <w:rPr>
          <w:rFonts w:asciiTheme="minorEastAsia" w:hAnsiTheme="minorEastAsia" w:eastAsiaTheme="minorEastAsia" w:cstheme="minorEastAsia"/>
          <w:b/>
          <w:bCs/>
          <w:iCs/>
          <w:szCs w:val="21"/>
        </w:rPr>
      </w:pPr>
      <w:r>
        <w:rPr>
          <w:rFonts w:hint="eastAsia" w:asciiTheme="minorEastAsia" w:hAnsiTheme="minorEastAsia" w:eastAsiaTheme="minorEastAsia" w:cstheme="minorEastAsia"/>
          <w:b/>
          <w:bCs/>
          <w:iCs/>
          <w:szCs w:val="21"/>
        </w:rPr>
        <w:t>内部风险评级仅是苏州农商银行内部测评结果，仅供投资者参考，不具有任何法律约束力。</w:t>
      </w:r>
    </w:p>
    <w:p>
      <w:pPr>
        <w:numPr>
          <w:ilvl w:val="0"/>
          <w:numId w:val="1"/>
        </w:numPr>
        <w:spacing w:line="300" w:lineRule="exac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bCs/>
          <w:iCs/>
          <w:szCs w:val="21"/>
        </w:rPr>
        <w:t>投资者若对本说明书的内容有任何疑问，对该产品和服务有任何意见、建议及投诉，可通过苏州农商银行营业网点工作人员、956111投资者服务热线以及官方网站（www.szrcb.com）进行反映，我们将按照相关流程予以受理。</w:t>
      </w:r>
    </w:p>
    <w:p>
      <w:pPr>
        <w:autoSpaceDE w:val="0"/>
        <w:autoSpaceDN w:val="0"/>
        <w:adjustRightInd w:val="0"/>
        <w:spacing w:before="120" w:line="220" w:lineRule="exact"/>
        <w:jc w:val="left"/>
        <w:rPr>
          <w:rFonts w:ascii="黑体" w:eastAsia="黑体" w:cs="黑体"/>
          <w:b/>
          <w:kern w:val="0"/>
          <w:szCs w:val="21"/>
        </w:rPr>
      </w:pPr>
      <w:r>
        <w:rPr>
          <w:rFonts w:hint="eastAsia" w:ascii="黑体" w:eastAsia="黑体" w:cs="黑体"/>
          <w:b/>
          <w:kern w:val="0"/>
          <w:szCs w:val="21"/>
        </w:rPr>
        <w:t>一、产品要素</w:t>
      </w:r>
    </w:p>
    <w:tbl>
      <w:tblPr>
        <w:tblStyle w:val="16"/>
        <w:tblW w:w="10490" w:type="dxa"/>
        <w:tblInd w:w="15" w:type="dxa"/>
        <w:tblLayout w:type="fixed"/>
        <w:tblCellMar>
          <w:top w:w="0" w:type="dxa"/>
          <w:left w:w="0" w:type="dxa"/>
          <w:bottom w:w="0" w:type="dxa"/>
          <w:right w:w="0" w:type="dxa"/>
        </w:tblCellMar>
      </w:tblPr>
      <w:tblGrid>
        <w:gridCol w:w="2694"/>
        <w:gridCol w:w="7796"/>
      </w:tblGrid>
      <w:tr>
        <w:tblPrEx>
          <w:tblCellMar>
            <w:top w:w="0" w:type="dxa"/>
            <w:left w:w="0" w:type="dxa"/>
            <w:bottom w:w="0" w:type="dxa"/>
            <w:right w:w="0" w:type="dxa"/>
          </w:tblCellMar>
        </w:tblPrEx>
        <w:trPr>
          <w:cantSplit/>
          <w:trHeight w:val="263" w:hRule="atLeast"/>
        </w:trPr>
        <w:tc>
          <w:tcPr>
            <w:tcW w:w="26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产品名称</w:t>
            </w:r>
          </w:p>
        </w:tc>
        <w:tc>
          <w:tcPr>
            <w:tcW w:w="77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“锦鲤鱼鑫动季享”净值型人民币理财产品</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产品编号</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SZJZA091D3</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20"/>
                <w:szCs w:val="18"/>
              </w:rPr>
            </w:pPr>
            <w:r>
              <w:rPr>
                <w:rFonts w:hint="eastAsia" w:ascii="宋体" w:hAnsi="宋体"/>
                <w:szCs w:val="21"/>
              </w:rPr>
              <w:t>全国银行业理财信息登记编码</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ascii="宋体" w:hAnsi="宋体"/>
                <w:szCs w:val="21"/>
              </w:rPr>
              <w:t>C111582</w:t>
            </w:r>
            <w:r>
              <w:rPr>
                <w:rFonts w:hint="eastAsia" w:ascii="宋体" w:hAnsi="宋体"/>
                <w:szCs w:val="21"/>
              </w:rPr>
              <w:t>2</w:t>
            </w:r>
            <w:r>
              <w:rPr>
                <w:rFonts w:ascii="宋体" w:hAnsi="宋体"/>
                <w:szCs w:val="21"/>
              </w:rPr>
              <w:t>0000</w:t>
            </w:r>
            <w:r>
              <w:rPr>
                <w:rFonts w:hint="eastAsia" w:ascii="宋体" w:hAnsi="宋体"/>
                <w:szCs w:val="21"/>
              </w:rPr>
              <w:t>04</w:t>
            </w:r>
          </w:p>
          <w:p>
            <w:pPr>
              <w:jc w:val="center"/>
              <w:rPr>
                <w:rFonts w:ascii="宋体" w:hAnsi="宋体"/>
                <w:szCs w:val="21"/>
              </w:rPr>
            </w:pPr>
            <w:r>
              <w:rPr>
                <w:rFonts w:hint="eastAsia" w:ascii="宋体" w:hAnsi="宋体"/>
                <w:szCs w:val="21"/>
              </w:rPr>
              <w:t>客户可依据该编码在“中国理财网”(www.chinawealth.com.cn)查询该产品信息。</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产品类别</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固定收益类、非保本浮动收益型理财产品</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运作</w:t>
            </w:r>
            <w:r>
              <w:rPr>
                <w:rFonts w:ascii="宋体" w:hAnsi="宋体"/>
                <w:szCs w:val="21"/>
              </w:rPr>
              <w:t>模式</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开放式净值型</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投资</w:t>
            </w:r>
            <w:r>
              <w:rPr>
                <w:rFonts w:ascii="宋体" w:hAnsi="宋体"/>
                <w:szCs w:val="21"/>
              </w:rPr>
              <w:t>范围</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ascii="宋体" w:hAnsi="宋体"/>
                <w:szCs w:val="21"/>
              </w:rPr>
              <w:t>80%-</w:t>
            </w:r>
            <w:r>
              <w:rPr>
                <w:rFonts w:hint="eastAsia" w:ascii="宋体" w:hAnsi="宋体"/>
                <w:szCs w:val="21"/>
              </w:rPr>
              <w:t>10</w:t>
            </w:r>
            <w:r>
              <w:rPr>
                <w:rFonts w:ascii="宋体" w:hAnsi="宋体"/>
                <w:szCs w:val="21"/>
              </w:rPr>
              <w:t>0%投资于</w:t>
            </w:r>
            <w:r>
              <w:rPr>
                <w:rFonts w:hint="eastAsia" w:ascii="宋体" w:hAnsi="宋体"/>
                <w:szCs w:val="21"/>
              </w:rPr>
              <w:t>固定收益</w:t>
            </w:r>
            <w:r>
              <w:rPr>
                <w:rFonts w:ascii="宋体" w:hAnsi="宋体"/>
                <w:szCs w:val="21"/>
              </w:rPr>
              <w:t>类资产</w:t>
            </w:r>
            <w:r>
              <w:rPr>
                <w:rFonts w:hint="eastAsia" w:ascii="宋体" w:hAnsi="宋体"/>
                <w:szCs w:val="21"/>
              </w:rPr>
              <w:t>，0</w:t>
            </w:r>
            <w:r>
              <w:rPr>
                <w:rFonts w:ascii="宋体" w:hAnsi="宋体"/>
                <w:szCs w:val="21"/>
              </w:rPr>
              <w:t>-20%投资于权益类资产</w:t>
            </w:r>
            <w:r>
              <w:rPr>
                <w:rFonts w:hint="eastAsia" w:ascii="宋体" w:hAnsi="宋体"/>
                <w:szCs w:val="21"/>
              </w:rPr>
              <w:t>、</w:t>
            </w:r>
            <w:r>
              <w:rPr>
                <w:rFonts w:ascii="宋体" w:hAnsi="宋体"/>
                <w:szCs w:val="21"/>
              </w:rPr>
              <w:t>金融</w:t>
            </w:r>
            <w:r>
              <w:rPr>
                <w:rFonts w:hint="eastAsia" w:ascii="宋体" w:hAnsi="宋体"/>
                <w:szCs w:val="21"/>
              </w:rPr>
              <w:t>衍生品。</w:t>
            </w:r>
          </w:p>
        </w:tc>
      </w:tr>
      <w:tr>
        <w:tblPrEx>
          <w:tblCellMar>
            <w:top w:w="0" w:type="dxa"/>
            <w:left w:w="0" w:type="dxa"/>
            <w:bottom w:w="0" w:type="dxa"/>
            <w:right w:w="0" w:type="dxa"/>
          </w:tblCellMar>
        </w:tblPrEx>
        <w:trPr>
          <w:trHeight w:val="291" w:hRule="atLeast"/>
          <w:tblHeader/>
        </w:trPr>
        <w:tc>
          <w:tcPr>
            <w:tcW w:w="26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内部风险评级</w:t>
            </w:r>
          </w:p>
        </w:tc>
        <w:tc>
          <w:tcPr>
            <w:tcW w:w="779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中低风险（二级）</w:t>
            </w:r>
          </w:p>
        </w:tc>
      </w:tr>
      <w:tr>
        <w:tblPrEx>
          <w:tblCellMar>
            <w:top w:w="0" w:type="dxa"/>
            <w:left w:w="0" w:type="dxa"/>
            <w:bottom w:w="0" w:type="dxa"/>
            <w:right w:w="0" w:type="dxa"/>
          </w:tblCellMar>
        </w:tblPrEx>
        <w:trPr>
          <w:trHeight w:val="291" w:hRule="atLeast"/>
          <w:tblHeader/>
        </w:trPr>
        <w:tc>
          <w:tcPr>
            <w:tcW w:w="26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发行</w:t>
            </w:r>
            <w:r>
              <w:rPr>
                <w:rFonts w:ascii="宋体" w:hAnsi="宋体"/>
                <w:szCs w:val="21"/>
              </w:rPr>
              <w:t>方式</w:t>
            </w:r>
          </w:p>
        </w:tc>
        <w:tc>
          <w:tcPr>
            <w:tcW w:w="779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公募</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本金及收益币种</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 w:val="22"/>
                <w:szCs w:val="18"/>
              </w:rPr>
              <w:t>投资本金币种：人民币   兑付本金币种：人民币   兑付收益币种：人民币</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产品规模上限</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ascii="宋体" w:hAnsi="宋体"/>
                <w:szCs w:val="21"/>
              </w:rPr>
              <w:t>100</w:t>
            </w:r>
            <w:r>
              <w:rPr>
                <w:rFonts w:hint="eastAsia" w:ascii="宋体" w:hAnsi="宋体"/>
                <w:szCs w:val="21"/>
              </w:rPr>
              <w:t>亿元</w:t>
            </w:r>
          </w:p>
        </w:tc>
      </w:tr>
      <w:tr>
        <w:tblPrEx>
          <w:tblCellMar>
            <w:top w:w="0" w:type="dxa"/>
            <w:left w:w="0" w:type="dxa"/>
            <w:bottom w:w="0" w:type="dxa"/>
            <w:right w:w="0" w:type="dxa"/>
          </w:tblCellMar>
        </w:tblPrEx>
        <w:trPr>
          <w:trHeight w:val="574"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ascii="宋体" w:hAnsi="宋体"/>
                <w:szCs w:val="21"/>
              </w:rPr>
              <w:t>期限</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20" w:firstLineChars="200"/>
              <w:jc w:val="left"/>
              <w:rPr>
                <w:rFonts w:ascii="宋体" w:hAnsi="宋体"/>
                <w:szCs w:val="21"/>
              </w:rPr>
            </w:pPr>
            <w:r>
              <w:rPr>
                <w:rFonts w:hint="eastAsia" w:ascii="宋体" w:hAnsi="宋体"/>
                <w:szCs w:val="21"/>
              </w:rPr>
              <w:t>本理财产品持续运作</w:t>
            </w:r>
            <w:r>
              <w:rPr>
                <w:rFonts w:ascii="宋体" w:hAnsi="宋体"/>
                <w:szCs w:val="21"/>
              </w:rPr>
              <w:t>，</w:t>
            </w:r>
            <w:r>
              <w:rPr>
                <w:rFonts w:hint="eastAsia" w:ascii="宋体" w:hAnsi="宋体"/>
                <w:szCs w:val="21"/>
              </w:rPr>
              <w:t>无特定存续</w:t>
            </w:r>
            <w:r>
              <w:rPr>
                <w:rFonts w:ascii="宋体" w:hAnsi="宋体"/>
                <w:szCs w:val="21"/>
              </w:rPr>
              <w:t>期限</w:t>
            </w:r>
            <w:r>
              <w:rPr>
                <w:rFonts w:hint="eastAsia" w:ascii="宋体" w:hAnsi="宋体"/>
                <w:szCs w:val="21"/>
              </w:rPr>
              <w:t>，但在符合本产品说明书规定的条件时，银行有权终止本理财产品，实际产品到期日受制于银行提前终止条款。</w:t>
            </w:r>
          </w:p>
        </w:tc>
      </w:tr>
      <w:tr>
        <w:tblPrEx>
          <w:tblCellMar>
            <w:top w:w="0" w:type="dxa"/>
            <w:left w:w="0" w:type="dxa"/>
            <w:bottom w:w="0" w:type="dxa"/>
            <w:right w:w="0" w:type="dxa"/>
          </w:tblCellMar>
        </w:tblPrEx>
        <w:trPr>
          <w:trHeight w:val="299" w:hRule="atLeast"/>
          <w:tblHeader/>
        </w:trPr>
        <w:tc>
          <w:tcPr>
            <w:tcW w:w="2694" w:type="dxa"/>
            <w:tcBorders>
              <w:top w:val="nil"/>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募集期</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20</w:t>
            </w:r>
            <w:r>
              <w:rPr>
                <w:rFonts w:ascii="宋体" w:hAnsi="宋体"/>
                <w:szCs w:val="21"/>
              </w:rPr>
              <w:t>2</w:t>
            </w:r>
            <w:r>
              <w:rPr>
                <w:rFonts w:hint="eastAsia" w:ascii="宋体" w:hAnsi="宋体"/>
                <w:szCs w:val="21"/>
              </w:rPr>
              <w:t>2年11月</w:t>
            </w:r>
            <w:r>
              <w:rPr>
                <w:rFonts w:ascii="宋体" w:hAnsi="宋体"/>
                <w:szCs w:val="21"/>
              </w:rPr>
              <w:t>2</w:t>
            </w:r>
            <w:r>
              <w:rPr>
                <w:rFonts w:hint="eastAsia" w:ascii="宋体" w:hAnsi="宋体"/>
                <w:szCs w:val="21"/>
              </w:rPr>
              <w:t>日—20</w:t>
            </w:r>
            <w:r>
              <w:rPr>
                <w:rFonts w:ascii="宋体" w:hAnsi="宋体"/>
                <w:szCs w:val="21"/>
              </w:rPr>
              <w:t>2</w:t>
            </w:r>
            <w:r>
              <w:rPr>
                <w:rFonts w:hint="eastAsia" w:ascii="宋体" w:hAnsi="宋体"/>
                <w:szCs w:val="21"/>
              </w:rPr>
              <w:t>2年11月</w:t>
            </w:r>
            <w:r>
              <w:rPr>
                <w:rFonts w:ascii="宋体" w:hAnsi="宋体"/>
                <w:szCs w:val="21"/>
              </w:rPr>
              <w:t>8</w:t>
            </w:r>
            <w:r>
              <w:rPr>
                <w:rFonts w:hint="eastAsia" w:ascii="宋体" w:hAnsi="宋体"/>
                <w:szCs w:val="21"/>
              </w:rPr>
              <w:t>日（</w:t>
            </w:r>
            <w:r>
              <w:rPr>
                <w:rFonts w:ascii="宋体" w:hAnsi="宋体"/>
                <w:szCs w:val="21"/>
              </w:rPr>
              <w:t>以银行系统时间为准）</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成立日、认购确认</w:t>
            </w:r>
            <w:r>
              <w:rPr>
                <w:rFonts w:ascii="宋体" w:hAnsi="宋体"/>
                <w:szCs w:val="21"/>
              </w:rPr>
              <w:t>日</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20</w:t>
            </w:r>
            <w:r>
              <w:rPr>
                <w:rFonts w:ascii="宋体" w:hAnsi="宋体"/>
                <w:szCs w:val="21"/>
              </w:rPr>
              <w:t>2</w:t>
            </w:r>
            <w:r>
              <w:rPr>
                <w:rFonts w:hint="eastAsia" w:ascii="宋体" w:hAnsi="宋体"/>
                <w:szCs w:val="21"/>
              </w:rPr>
              <w:t>2年11月</w:t>
            </w:r>
            <w:r>
              <w:rPr>
                <w:rFonts w:ascii="宋体" w:hAnsi="宋体"/>
                <w:szCs w:val="21"/>
              </w:rPr>
              <w:t>9</w:t>
            </w:r>
            <w:r>
              <w:rPr>
                <w:rFonts w:hint="eastAsia" w:ascii="宋体" w:hAnsi="宋体"/>
                <w:szCs w:val="21"/>
              </w:rPr>
              <w:t>日</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首个份额</w:t>
            </w:r>
            <w:r>
              <w:rPr>
                <w:rFonts w:ascii="宋体" w:hAnsi="宋体"/>
                <w:szCs w:val="21"/>
              </w:rPr>
              <w:t>赎回日</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20</w:t>
            </w:r>
            <w:r>
              <w:rPr>
                <w:rFonts w:ascii="宋体" w:hAnsi="宋体"/>
                <w:szCs w:val="21"/>
              </w:rPr>
              <w:t>2</w:t>
            </w:r>
            <w:r>
              <w:rPr>
                <w:rFonts w:hint="eastAsia" w:ascii="宋体" w:hAnsi="宋体"/>
                <w:szCs w:val="21"/>
              </w:rPr>
              <w:t>3年2月8日</w:t>
            </w:r>
          </w:p>
        </w:tc>
      </w:tr>
      <w:tr>
        <w:tblPrEx>
          <w:tblCellMar>
            <w:top w:w="0" w:type="dxa"/>
            <w:left w:w="0" w:type="dxa"/>
            <w:bottom w:w="0" w:type="dxa"/>
            <w:right w:w="0" w:type="dxa"/>
          </w:tblCellMar>
        </w:tblPrEx>
        <w:trPr>
          <w:trHeight w:val="509"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ascii="宋体" w:hAnsi="宋体"/>
                <w:szCs w:val="21"/>
              </w:rPr>
              <w:t>认购</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20" w:firstLineChars="200"/>
              <w:jc w:val="left"/>
              <w:rPr>
                <w:rFonts w:ascii="宋体" w:hAnsi="宋体"/>
                <w:szCs w:val="21"/>
              </w:rPr>
            </w:pPr>
            <w:r>
              <w:rPr>
                <w:rFonts w:ascii="宋体" w:hAnsi="宋体"/>
                <w:szCs w:val="21"/>
              </w:rPr>
              <w:t>产品募集期内投资者可</w:t>
            </w:r>
            <w:r>
              <w:rPr>
                <w:rFonts w:hint="eastAsia" w:ascii="宋体" w:hAnsi="宋体"/>
                <w:szCs w:val="21"/>
              </w:rPr>
              <w:t>申请</w:t>
            </w:r>
            <w:r>
              <w:rPr>
                <w:rFonts w:ascii="宋体" w:hAnsi="宋体"/>
                <w:szCs w:val="21"/>
              </w:rPr>
              <w:t>认购本</w:t>
            </w:r>
            <w:r>
              <w:rPr>
                <w:rFonts w:hint="eastAsia" w:ascii="宋体" w:hAnsi="宋体"/>
                <w:szCs w:val="21"/>
              </w:rPr>
              <w:t>产品，起点</w:t>
            </w:r>
            <w:r>
              <w:rPr>
                <w:rFonts w:ascii="宋体" w:hAnsi="宋体"/>
                <w:szCs w:val="21"/>
              </w:rPr>
              <w:t>金额为</w:t>
            </w:r>
            <w:r>
              <w:rPr>
                <w:rFonts w:hint="eastAsia" w:ascii="宋体" w:hAnsi="宋体"/>
                <w:szCs w:val="21"/>
              </w:rPr>
              <w:t>1万元，</w:t>
            </w:r>
            <w:r>
              <w:rPr>
                <w:rFonts w:ascii="宋体" w:hAnsi="宋体"/>
                <w:szCs w:val="21"/>
              </w:rPr>
              <w:t>认购资金</w:t>
            </w:r>
            <w:r>
              <w:rPr>
                <w:rFonts w:hint="eastAsia" w:ascii="宋体" w:hAnsi="宋体"/>
                <w:szCs w:val="21"/>
              </w:rPr>
              <w:t>当日</w:t>
            </w:r>
            <w:r>
              <w:rPr>
                <w:rFonts w:ascii="宋体" w:hAnsi="宋体"/>
                <w:szCs w:val="21"/>
              </w:rPr>
              <w:t>冻结，</w:t>
            </w:r>
            <w:r>
              <w:rPr>
                <w:rFonts w:hint="eastAsia" w:ascii="宋体" w:hAnsi="宋体"/>
                <w:szCs w:val="21"/>
              </w:rPr>
              <w:t>于</w:t>
            </w:r>
            <w:r>
              <w:rPr>
                <w:rFonts w:ascii="宋体" w:hAnsi="宋体"/>
                <w:szCs w:val="21"/>
              </w:rPr>
              <w:t>产品成立日</w:t>
            </w:r>
            <w:r>
              <w:rPr>
                <w:rFonts w:hint="eastAsia" w:ascii="宋体" w:hAnsi="宋体"/>
                <w:szCs w:val="21"/>
              </w:rPr>
              <w:t>确认</w:t>
            </w:r>
            <w:r>
              <w:rPr>
                <w:rFonts w:ascii="宋体" w:hAnsi="宋体"/>
                <w:szCs w:val="21"/>
              </w:rPr>
              <w:t>份额</w:t>
            </w:r>
            <w:r>
              <w:rPr>
                <w:rFonts w:hint="eastAsia" w:ascii="宋体" w:hAnsi="宋体"/>
                <w:szCs w:val="21"/>
              </w:rPr>
              <w:t>并</w:t>
            </w:r>
            <w:r>
              <w:rPr>
                <w:rFonts w:ascii="宋体" w:hAnsi="宋体"/>
                <w:szCs w:val="21"/>
              </w:rPr>
              <w:t>扣款，</w:t>
            </w:r>
            <w:r>
              <w:rPr>
                <w:rFonts w:hint="eastAsia" w:ascii="宋体" w:hAnsi="宋体"/>
                <w:szCs w:val="21"/>
              </w:rPr>
              <w:t>募集期</w:t>
            </w:r>
            <w:r>
              <w:rPr>
                <w:rFonts w:ascii="宋体" w:hAnsi="宋体"/>
                <w:szCs w:val="21"/>
              </w:rPr>
              <w:t>产品单位净值为</w:t>
            </w:r>
            <w:r>
              <w:rPr>
                <w:rFonts w:hint="eastAsia" w:ascii="宋体" w:hAnsi="宋体"/>
                <w:szCs w:val="21"/>
              </w:rPr>
              <w:t>1元，认购</w:t>
            </w:r>
            <w:r>
              <w:rPr>
                <w:rFonts w:ascii="宋体" w:hAnsi="宋体"/>
                <w:szCs w:val="21"/>
              </w:rPr>
              <w:t>份额=认购金额</w:t>
            </w:r>
            <w:r>
              <w:rPr>
                <w:rFonts w:hint="eastAsia" w:ascii="宋体" w:hAnsi="宋体"/>
                <w:szCs w:val="21"/>
              </w:rPr>
              <w:t>。</w:t>
            </w:r>
          </w:p>
        </w:tc>
      </w:tr>
      <w:tr>
        <w:tblPrEx>
          <w:tblCellMar>
            <w:top w:w="0" w:type="dxa"/>
            <w:left w:w="0" w:type="dxa"/>
            <w:bottom w:w="0" w:type="dxa"/>
            <w:right w:w="0" w:type="dxa"/>
          </w:tblCellMar>
        </w:tblPrEx>
        <w:trPr>
          <w:trHeight w:val="922"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申购</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20" w:firstLineChars="200"/>
              <w:jc w:val="left"/>
              <w:rPr>
                <w:rFonts w:ascii="宋体" w:hAnsi="宋体"/>
                <w:szCs w:val="21"/>
              </w:rPr>
            </w:pPr>
            <w:r>
              <w:rPr>
                <w:rFonts w:hint="eastAsia" w:ascii="宋体" w:hAnsi="宋体"/>
                <w:szCs w:val="21"/>
              </w:rPr>
              <w:t>本产品</w:t>
            </w:r>
            <w:r>
              <w:rPr>
                <w:rFonts w:ascii="宋体" w:hAnsi="宋体"/>
                <w:szCs w:val="21"/>
              </w:rPr>
              <w:t>按照金额申购，</w:t>
            </w:r>
            <w:r>
              <w:rPr>
                <w:rFonts w:hint="eastAsia" w:ascii="宋体" w:hAnsi="宋体"/>
                <w:szCs w:val="21"/>
              </w:rPr>
              <w:t>采用</w:t>
            </w:r>
            <w:r>
              <w:rPr>
                <w:rFonts w:ascii="宋体" w:hAnsi="宋体"/>
                <w:szCs w:val="21"/>
              </w:rPr>
              <w:t>未知价原则。</w:t>
            </w:r>
          </w:p>
          <w:p>
            <w:pPr>
              <w:ind w:firstLine="420" w:firstLineChars="200"/>
              <w:jc w:val="left"/>
              <w:rPr>
                <w:rFonts w:ascii="宋体" w:hAnsi="宋体"/>
                <w:szCs w:val="21"/>
              </w:rPr>
            </w:pPr>
            <w:r>
              <w:rPr>
                <w:rFonts w:hint="eastAsia" w:ascii="宋体" w:hAnsi="宋体"/>
                <w:szCs w:val="21"/>
              </w:rPr>
              <w:t>投资者</w:t>
            </w:r>
            <w:r>
              <w:rPr>
                <w:rFonts w:ascii="宋体" w:hAnsi="宋体"/>
                <w:szCs w:val="21"/>
              </w:rPr>
              <w:t>可在</w:t>
            </w:r>
            <w:r>
              <w:rPr>
                <w:rFonts w:hint="eastAsia" w:ascii="宋体" w:hAnsi="宋体"/>
                <w:szCs w:val="21"/>
              </w:rPr>
              <w:t>本产品</w:t>
            </w:r>
            <w:r>
              <w:rPr>
                <w:rFonts w:ascii="宋体" w:hAnsi="宋体"/>
                <w:szCs w:val="21"/>
              </w:rPr>
              <w:t>成立后</w:t>
            </w:r>
            <w:r>
              <w:rPr>
                <w:rFonts w:hint="eastAsia" w:ascii="宋体" w:hAnsi="宋体"/>
                <w:szCs w:val="21"/>
              </w:rPr>
              <w:t>某一开放申购期内申请</w:t>
            </w:r>
            <w:r>
              <w:rPr>
                <w:rFonts w:ascii="宋体" w:hAnsi="宋体"/>
                <w:szCs w:val="21"/>
              </w:rPr>
              <w:t>申购本产品，</w:t>
            </w:r>
            <w:r>
              <w:rPr>
                <w:rFonts w:hint="eastAsia" w:ascii="宋体" w:hAnsi="宋体"/>
                <w:szCs w:val="21"/>
              </w:rPr>
              <w:t>申购</w:t>
            </w:r>
            <w:r>
              <w:rPr>
                <w:rFonts w:ascii="宋体" w:hAnsi="宋体"/>
                <w:szCs w:val="21"/>
              </w:rPr>
              <w:t>资金当日冻结，</w:t>
            </w:r>
            <w:r>
              <w:rPr>
                <w:rFonts w:hint="eastAsia" w:ascii="宋体" w:hAnsi="宋体"/>
                <w:szCs w:val="21"/>
              </w:rPr>
              <w:t>申购</w:t>
            </w:r>
            <w:r>
              <w:rPr>
                <w:rFonts w:ascii="宋体" w:hAnsi="宋体"/>
                <w:szCs w:val="21"/>
              </w:rPr>
              <w:t>申请</w:t>
            </w:r>
            <w:r>
              <w:rPr>
                <w:rFonts w:hint="eastAsia" w:ascii="宋体" w:hAnsi="宋体"/>
                <w:szCs w:val="21"/>
              </w:rPr>
              <w:t>于该开放申购期结束</w:t>
            </w:r>
            <w:r>
              <w:rPr>
                <w:rFonts w:ascii="宋体" w:hAnsi="宋体"/>
                <w:szCs w:val="21"/>
              </w:rPr>
              <w:t>日</w:t>
            </w:r>
            <w:r>
              <w:rPr>
                <w:rFonts w:hint="eastAsia" w:ascii="宋体" w:hAnsi="宋体"/>
                <w:szCs w:val="21"/>
              </w:rPr>
              <w:t>的</w:t>
            </w:r>
            <w:r>
              <w:rPr>
                <w:rFonts w:ascii="宋体" w:hAnsi="宋体"/>
                <w:szCs w:val="21"/>
              </w:rPr>
              <w:t>下一</w:t>
            </w:r>
            <w:r>
              <w:rPr>
                <w:rFonts w:hint="eastAsia" w:ascii="宋体" w:hAnsi="宋体"/>
                <w:szCs w:val="21"/>
              </w:rPr>
              <w:t>工作</w:t>
            </w:r>
            <w:r>
              <w:rPr>
                <w:rFonts w:ascii="宋体" w:hAnsi="宋体"/>
                <w:szCs w:val="21"/>
              </w:rPr>
              <w:t>日（</w:t>
            </w:r>
            <w:r>
              <w:rPr>
                <w:rFonts w:hint="eastAsia" w:ascii="宋体" w:hAnsi="宋体"/>
                <w:szCs w:val="21"/>
              </w:rPr>
              <w:t>申购份额确认日、</w:t>
            </w:r>
            <w:r>
              <w:rPr>
                <w:rFonts w:ascii="宋体" w:hAnsi="宋体"/>
                <w:szCs w:val="21"/>
              </w:rPr>
              <w:t>收益起算日）确认</w:t>
            </w:r>
            <w:r>
              <w:rPr>
                <w:rFonts w:hint="eastAsia" w:ascii="宋体" w:hAnsi="宋体"/>
                <w:szCs w:val="21"/>
              </w:rPr>
              <w:t>并</w:t>
            </w:r>
            <w:r>
              <w:rPr>
                <w:rFonts w:ascii="宋体" w:hAnsi="宋体"/>
                <w:szCs w:val="21"/>
              </w:rPr>
              <w:t>扣款，</w:t>
            </w:r>
            <w:r>
              <w:rPr>
                <w:rFonts w:hint="eastAsia" w:ascii="宋体" w:hAnsi="宋体"/>
                <w:szCs w:val="21"/>
              </w:rPr>
              <w:t>申购</w:t>
            </w:r>
            <w:r>
              <w:rPr>
                <w:rFonts w:ascii="宋体" w:hAnsi="宋体"/>
                <w:szCs w:val="21"/>
              </w:rPr>
              <w:t>份额</w:t>
            </w:r>
            <w:r>
              <w:rPr>
                <w:rFonts w:hint="eastAsia" w:ascii="宋体" w:hAnsi="宋体"/>
                <w:szCs w:val="21"/>
              </w:rPr>
              <w:t>=申购</w:t>
            </w:r>
            <w:r>
              <w:rPr>
                <w:rFonts w:ascii="宋体" w:hAnsi="宋体"/>
                <w:szCs w:val="21"/>
              </w:rPr>
              <w:t>金额</w:t>
            </w:r>
            <w:r>
              <w:rPr>
                <w:rFonts w:hint="eastAsia" w:ascii="宋体" w:hAnsi="宋体"/>
                <w:szCs w:val="21"/>
              </w:rPr>
              <w:t>÷开放申购期结束</w:t>
            </w:r>
            <w:r>
              <w:rPr>
                <w:rFonts w:ascii="宋体" w:hAnsi="宋体"/>
                <w:szCs w:val="21"/>
              </w:rPr>
              <w:t>日</w:t>
            </w:r>
            <w:r>
              <w:rPr>
                <w:rFonts w:hint="eastAsia" w:ascii="宋体" w:hAnsi="宋体"/>
                <w:szCs w:val="21"/>
              </w:rPr>
              <w:t>产品</w:t>
            </w:r>
            <w:r>
              <w:rPr>
                <w:rFonts w:ascii="宋体" w:hAnsi="宋体"/>
                <w:szCs w:val="21"/>
              </w:rPr>
              <w:t>单位净值。</w:t>
            </w:r>
            <w:r>
              <w:rPr>
                <w:rFonts w:hint="eastAsia" w:ascii="宋体" w:hAnsi="宋体"/>
                <w:szCs w:val="21"/>
              </w:rPr>
              <w:t>申购份数</w:t>
            </w:r>
            <w:r>
              <w:rPr>
                <w:rFonts w:ascii="宋体" w:hAnsi="宋体"/>
                <w:szCs w:val="21"/>
              </w:rPr>
              <w:t>保留</w:t>
            </w:r>
            <w:r>
              <w:rPr>
                <w:rFonts w:hint="eastAsia" w:ascii="宋体" w:hAnsi="宋体"/>
                <w:szCs w:val="21"/>
              </w:rPr>
              <w:t>至0.01份</w:t>
            </w:r>
            <w:r>
              <w:rPr>
                <w:rFonts w:ascii="宋体" w:hAnsi="宋体"/>
                <w:szCs w:val="21"/>
              </w:rPr>
              <w:t>，小数点后第</w:t>
            </w:r>
            <w:r>
              <w:rPr>
                <w:rFonts w:hint="eastAsia" w:ascii="宋体" w:hAnsi="宋体"/>
                <w:szCs w:val="21"/>
              </w:rPr>
              <w:t>三位</w:t>
            </w:r>
            <w:r>
              <w:rPr>
                <w:rFonts w:ascii="宋体" w:hAnsi="宋体"/>
                <w:szCs w:val="21"/>
              </w:rPr>
              <w:t>四舍五入。</w:t>
            </w:r>
          </w:p>
        </w:tc>
      </w:tr>
      <w:tr>
        <w:tblPrEx>
          <w:tblCellMar>
            <w:top w:w="0" w:type="dxa"/>
            <w:left w:w="0" w:type="dxa"/>
            <w:bottom w:w="0" w:type="dxa"/>
            <w:right w:w="0" w:type="dxa"/>
          </w:tblCellMar>
        </w:tblPrEx>
        <w:trPr>
          <w:trHeight w:val="1369" w:hRule="atLeast"/>
          <w:tblHeader/>
        </w:trPr>
        <w:tc>
          <w:tcPr>
            <w:tcW w:w="2694" w:type="dxa"/>
            <w:tcBorders>
              <w:top w:val="nil"/>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自动赎回</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认购、</w:t>
            </w:r>
            <w:r>
              <w:rPr>
                <w:rFonts w:ascii="宋体" w:hAnsi="宋体"/>
                <w:szCs w:val="21"/>
              </w:rPr>
              <w:t>申购</w:t>
            </w:r>
            <w:r>
              <w:rPr>
                <w:rFonts w:hint="eastAsia" w:ascii="宋体" w:hAnsi="宋体"/>
                <w:szCs w:val="21"/>
              </w:rPr>
              <w:t>确认</w:t>
            </w:r>
            <w:r>
              <w:rPr>
                <w:rFonts w:ascii="宋体" w:hAnsi="宋体"/>
                <w:szCs w:val="21"/>
              </w:rPr>
              <w:t>份额在</w:t>
            </w:r>
            <w:r>
              <w:rPr>
                <w:rFonts w:hint="eastAsia" w:ascii="宋体" w:hAnsi="宋体"/>
                <w:szCs w:val="21"/>
              </w:rPr>
              <w:t>对应投资周期</w:t>
            </w:r>
            <w:r>
              <w:rPr>
                <w:rFonts w:ascii="宋体" w:hAnsi="宋体"/>
                <w:szCs w:val="21"/>
              </w:rPr>
              <w:t>到期当日</w:t>
            </w:r>
            <w:r>
              <w:rPr>
                <w:rFonts w:hint="eastAsia" w:ascii="宋体" w:hAnsi="宋体"/>
                <w:szCs w:val="21"/>
              </w:rPr>
              <w:t>（份额赎回日）</w:t>
            </w:r>
            <w:r>
              <w:rPr>
                <w:rFonts w:ascii="宋体" w:hAnsi="宋体"/>
                <w:szCs w:val="21"/>
              </w:rPr>
              <w:t>全部</w:t>
            </w:r>
            <w:r>
              <w:rPr>
                <w:rFonts w:hint="eastAsia" w:ascii="宋体" w:hAnsi="宋体"/>
                <w:szCs w:val="21"/>
              </w:rPr>
              <w:t>自动赎回，</w:t>
            </w:r>
            <w:r>
              <w:rPr>
                <w:rFonts w:hint="eastAsia" w:ascii="宋体" w:hAnsi="宋体"/>
                <w:b/>
                <w:szCs w:val="21"/>
              </w:rPr>
              <w:t>赎回</w:t>
            </w:r>
            <w:r>
              <w:rPr>
                <w:rFonts w:ascii="宋体" w:hAnsi="宋体"/>
                <w:b/>
                <w:szCs w:val="21"/>
              </w:rPr>
              <w:t>由系统自动发起，客户无需主动提交赎回申请</w:t>
            </w:r>
            <w:r>
              <w:rPr>
                <w:rFonts w:hint="eastAsia" w:ascii="宋体" w:hAnsi="宋体"/>
                <w:b/>
                <w:szCs w:val="21"/>
              </w:rPr>
              <w:t>，</w:t>
            </w:r>
            <w:r>
              <w:rPr>
                <w:rFonts w:ascii="宋体" w:hAnsi="宋体"/>
                <w:b/>
                <w:szCs w:val="21"/>
              </w:rPr>
              <w:t>客户购买本理财</w:t>
            </w:r>
            <w:r>
              <w:rPr>
                <w:rFonts w:hint="eastAsia" w:ascii="宋体" w:hAnsi="宋体"/>
                <w:b/>
                <w:szCs w:val="21"/>
              </w:rPr>
              <w:t>产品即表示</w:t>
            </w:r>
            <w:r>
              <w:rPr>
                <w:rFonts w:ascii="宋体" w:hAnsi="宋体"/>
                <w:b/>
                <w:szCs w:val="21"/>
              </w:rPr>
              <w:t>接受本理财产品自动赎回</w:t>
            </w:r>
            <w:r>
              <w:rPr>
                <w:rFonts w:hint="eastAsia" w:ascii="宋体" w:hAnsi="宋体"/>
                <w:b/>
                <w:szCs w:val="21"/>
              </w:rPr>
              <w:t>方式</w:t>
            </w:r>
            <w:r>
              <w:rPr>
                <w:rFonts w:ascii="宋体" w:hAnsi="宋体"/>
                <w:b/>
                <w:szCs w:val="21"/>
              </w:rPr>
              <w:t>的安排。</w:t>
            </w:r>
            <w:r>
              <w:rPr>
                <w:rFonts w:hint="eastAsia" w:ascii="宋体" w:hAnsi="宋体"/>
                <w:b/>
                <w:szCs w:val="21"/>
              </w:rPr>
              <w:t>份额赎回日</w:t>
            </w:r>
            <w:r>
              <w:rPr>
                <w:rFonts w:ascii="宋体" w:hAnsi="宋体"/>
                <w:szCs w:val="21"/>
              </w:rPr>
              <w:t>为</w:t>
            </w:r>
            <w:r>
              <w:rPr>
                <w:rFonts w:hint="eastAsia" w:ascii="宋体" w:hAnsi="宋体"/>
                <w:szCs w:val="21"/>
              </w:rPr>
              <w:t>投资周期</w:t>
            </w:r>
            <w:r>
              <w:rPr>
                <w:rFonts w:ascii="宋体" w:hAnsi="宋体"/>
                <w:szCs w:val="21"/>
              </w:rPr>
              <w:t>到期当日</w:t>
            </w:r>
            <w:r>
              <w:rPr>
                <w:rFonts w:hint="eastAsia" w:ascii="宋体" w:hAnsi="宋体"/>
                <w:szCs w:val="21"/>
              </w:rPr>
              <w:t>，</w:t>
            </w:r>
            <w:r>
              <w:rPr>
                <w:rFonts w:ascii="宋体" w:hAnsi="宋体"/>
                <w:szCs w:val="21"/>
              </w:rPr>
              <w:t>即</w:t>
            </w:r>
            <w:r>
              <w:rPr>
                <w:rFonts w:hint="eastAsia" w:ascii="宋体" w:hAnsi="宋体"/>
                <w:szCs w:val="21"/>
              </w:rPr>
              <w:t>投资</w:t>
            </w:r>
            <w:r>
              <w:rPr>
                <w:rFonts w:ascii="宋体" w:hAnsi="宋体"/>
                <w:szCs w:val="21"/>
              </w:rPr>
              <w:t>者购买的单笔理财</w:t>
            </w:r>
            <w:r>
              <w:rPr>
                <w:rFonts w:hint="eastAsia" w:ascii="宋体" w:hAnsi="宋体"/>
                <w:szCs w:val="21"/>
              </w:rPr>
              <w:t>产品的份额</w:t>
            </w:r>
            <w:r>
              <w:rPr>
                <w:rFonts w:ascii="宋体" w:hAnsi="宋体"/>
                <w:szCs w:val="21"/>
              </w:rPr>
              <w:t>确认日（</w:t>
            </w:r>
            <w:r>
              <w:rPr>
                <w:rFonts w:hint="eastAsia" w:ascii="宋体" w:hAnsi="宋体"/>
                <w:szCs w:val="21"/>
              </w:rPr>
              <w:t>收益</w:t>
            </w:r>
            <w:r>
              <w:rPr>
                <w:rFonts w:ascii="宋体" w:hAnsi="宋体"/>
                <w:szCs w:val="21"/>
              </w:rPr>
              <w:t>起算日）</w:t>
            </w:r>
            <w:r>
              <w:rPr>
                <w:rFonts w:hint="eastAsia" w:ascii="宋体" w:hAnsi="宋体"/>
                <w:szCs w:val="21"/>
              </w:rPr>
              <w:t>下一日开始</w:t>
            </w:r>
            <w:r>
              <w:rPr>
                <w:rFonts w:ascii="宋体" w:hAnsi="宋体"/>
                <w:szCs w:val="21"/>
              </w:rPr>
              <w:t>的第</w:t>
            </w:r>
            <w:r>
              <w:rPr>
                <w:rFonts w:hint="eastAsia" w:ascii="宋体" w:hAnsi="宋体"/>
                <w:szCs w:val="21"/>
              </w:rPr>
              <w:t>91</w:t>
            </w:r>
            <w:r>
              <w:rPr>
                <w:rFonts w:ascii="宋体" w:hAnsi="宋体"/>
                <w:szCs w:val="21"/>
              </w:rPr>
              <w:t>天</w:t>
            </w:r>
            <w:r>
              <w:rPr>
                <w:rFonts w:hint="eastAsia" w:ascii="宋体" w:hAnsi="宋体"/>
                <w:szCs w:val="21"/>
              </w:rPr>
              <w:t>（遇非</w:t>
            </w:r>
            <w:r>
              <w:rPr>
                <w:rFonts w:ascii="宋体" w:hAnsi="宋体"/>
                <w:szCs w:val="21"/>
              </w:rPr>
              <w:t>工作日顺延）</w:t>
            </w:r>
            <w:r>
              <w:rPr>
                <w:rFonts w:hint="eastAsia" w:ascii="宋体" w:hAnsi="宋体"/>
                <w:szCs w:val="21"/>
              </w:rPr>
              <w:t>。赎回</w:t>
            </w:r>
            <w:r>
              <w:rPr>
                <w:rFonts w:ascii="宋体" w:hAnsi="宋体"/>
                <w:szCs w:val="21"/>
              </w:rPr>
              <w:t>资金</w:t>
            </w:r>
            <w:r>
              <w:rPr>
                <w:rFonts w:hint="eastAsia" w:ascii="宋体" w:hAnsi="宋体"/>
                <w:szCs w:val="21"/>
              </w:rPr>
              <w:t>于</w:t>
            </w:r>
            <w:r>
              <w:rPr>
                <w:rFonts w:ascii="宋体" w:hAnsi="宋体"/>
                <w:szCs w:val="21"/>
              </w:rPr>
              <w:t>赎回日后三个工作日内兑付</w:t>
            </w:r>
            <w:r>
              <w:rPr>
                <w:rFonts w:hint="eastAsia" w:ascii="宋体" w:hAnsi="宋体"/>
                <w:szCs w:val="21"/>
              </w:rPr>
              <w:t>，赎回</w:t>
            </w:r>
            <w:r>
              <w:rPr>
                <w:rFonts w:ascii="宋体" w:hAnsi="宋体"/>
                <w:szCs w:val="21"/>
              </w:rPr>
              <w:t>金额=赎回份额</w:t>
            </w:r>
            <w:r>
              <w:rPr>
                <w:rFonts w:hint="eastAsia" w:ascii="宋体" w:hAnsi="宋体"/>
                <w:szCs w:val="21"/>
              </w:rPr>
              <w:t>×赎回日</w:t>
            </w:r>
            <w:r>
              <w:rPr>
                <w:rFonts w:ascii="宋体" w:hAnsi="宋体"/>
                <w:szCs w:val="21"/>
              </w:rPr>
              <w:t>前1日</w:t>
            </w:r>
            <w:r>
              <w:rPr>
                <w:rFonts w:hint="eastAsia" w:ascii="宋体" w:hAnsi="宋体"/>
                <w:szCs w:val="21"/>
              </w:rPr>
              <w:t>产品</w:t>
            </w:r>
            <w:r>
              <w:rPr>
                <w:rFonts w:ascii="宋体" w:hAnsi="宋体"/>
                <w:szCs w:val="21"/>
              </w:rPr>
              <w:t>单位净值</w:t>
            </w:r>
            <w:r>
              <w:rPr>
                <w:rFonts w:hint="eastAsia" w:ascii="宋体" w:hAnsi="宋体"/>
                <w:szCs w:val="21"/>
              </w:rPr>
              <w:t>。</w:t>
            </w:r>
          </w:p>
        </w:tc>
      </w:tr>
      <w:tr>
        <w:tblPrEx>
          <w:tblCellMar>
            <w:top w:w="0" w:type="dxa"/>
            <w:left w:w="0" w:type="dxa"/>
            <w:bottom w:w="0" w:type="dxa"/>
            <w:right w:w="0" w:type="dxa"/>
          </w:tblCellMar>
        </w:tblPrEx>
        <w:trPr>
          <w:trHeight w:val="1417"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投资</w:t>
            </w:r>
            <w:r>
              <w:rPr>
                <w:rFonts w:ascii="宋体" w:hAnsi="宋体"/>
                <w:szCs w:val="21"/>
              </w:rPr>
              <w:t>周期</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ind w:left="105" w:leftChars="50" w:firstLine="315" w:firstLineChars="150"/>
              <w:jc w:val="left"/>
              <w:rPr>
                <w:rFonts w:ascii="宋体" w:hAnsi="宋体"/>
                <w:szCs w:val="21"/>
              </w:rPr>
            </w:pPr>
            <w:r>
              <w:rPr>
                <w:rFonts w:hint="eastAsia" w:ascii="宋体" w:hAnsi="宋体"/>
                <w:szCs w:val="21"/>
              </w:rPr>
              <w:t>本理财产品的投资周期期限为投资者单笔认购（申购）份额确认日（收益起算日）至该笔份额自动赎回日之间的时间</w:t>
            </w:r>
            <w:r>
              <w:rPr>
                <w:rFonts w:ascii="宋体" w:hAnsi="宋体"/>
                <w:szCs w:val="21"/>
              </w:rPr>
              <w:t>区间</w:t>
            </w:r>
            <w:r>
              <w:rPr>
                <w:rFonts w:hint="eastAsia" w:ascii="宋体" w:hAnsi="宋体"/>
                <w:szCs w:val="21"/>
              </w:rPr>
              <w:t>，遇非工作日顺延（工作日指除休息日、法定节假日外的日期），如遇特殊情况，苏州农商银行有权对投资周期期限进行调整。</w:t>
            </w:r>
          </w:p>
          <w:p>
            <w:pPr>
              <w:ind w:left="105" w:leftChars="50" w:firstLine="315" w:firstLineChars="150"/>
              <w:jc w:val="left"/>
              <w:rPr>
                <w:rFonts w:ascii="宋体" w:hAnsi="宋体"/>
                <w:szCs w:val="21"/>
              </w:rPr>
            </w:pPr>
            <w:r>
              <w:rPr>
                <w:rFonts w:hint="eastAsia" w:ascii="宋体" w:hAnsi="宋体"/>
                <w:szCs w:val="21"/>
              </w:rPr>
              <w:t>一般</w:t>
            </w:r>
            <w:r>
              <w:rPr>
                <w:rFonts w:ascii="宋体" w:hAnsi="宋体"/>
                <w:szCs w:val="21"/>
              </w:rPr>
              <w:t>情况下</w:t>
            </w:r>
            <w:r>
              <w:rPr>
                <w:rFonts w:hint="eastAsia" w:ascii="宋体" w:hAnsi="宋体"/>
                <w:szCs w:val="21"/>
              </w:rPr>
              <w:t>，本理财产品投资周期期限为91</w:t>
            </w:r>
            <w:r>
              <w:rPr>
                <w:rFonts w:ascii="宋体" w:hAnsi="宋体"/>
                <w:szCs w:val="21"/>
              </w:rPr>
              <w:t>天</w:t>
            </w:r>
            <w:r>
              <w:rPr>
                <w:rFonts w:hint="eastAsia" w:ascii="宋体" w:hAnsi="宋体"/>
                <w:szCs w:val="21"/>
              </w:rPr>
              <w:t>（算头不算尾，</w:t>
            </w:r>
            <w:r>
              <w:rPr>
                <w:rFonts w:ascii="宋体" w:hAnsi="宋体"/>
                <w:szCs w:val="21"/>
              </w:rPr>
              <w:t>遇</w:t>
            </w:r>
            <w:r>
              <w:rPr>
                <w:rFonts w:hint="eastAsia" w:ascii="宋体" w:hAnsi="宋体"/>
                <w:szCs w:val="21"/>
              </w:rPr>
              <w:t>非</w:t>
            </w:r>
            <w:r>
              <w:rPr>
                <w:rFonts w:ascii="宋体" w:hAnsi="宋体"/>
                <w:szCs w:val="21"/>
              </w:rPr>
              <w:t>工作日顺延）</w:t>
            </w:r>
          </w:p>
        </w:tc>
      </w:tr>
      <w:tr>
        <w:tblPrEx>
          <w:tblCellMar>
            <w:top w:w="0" w:type="dxa"/>
            <w:left w:w="0" w:type="dxa"/>
            <w:bottom w:w="0" w:type="dxa"/>
            <w:right w:w="0" w:type="dxa"/>
          </w:tblCellMar>
        </w:tblPrEx>
        <w:trPr>
          <w:trHeight w:val="548"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购买</w:t>
            </w:r>
            <w:r>
              <w:rPr>
                <w:rFonts w:ascii="宋体" w:hAnsi="宋体"/>
                <w:szCs w:val="21"/>
              </w:rPr>
              <w:t>渠道</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20" w:firstLineChars="200"/>
              <w:jc w:val="left"/>
              <w:rPr>
                <w:rFonts w:ascii="宋体" w:hAnsi="宋体"/>
                <w:szCs w:val="21"/>
              </w:rPr>
            </w:pPr>
            <w:r>
              <w:rPr>
                <w:rFonts w:hint="eastAsia" w:ascii="宋体" w:hAnsi="宋体"/>
                <w:szCs w:val="21"/>
              </w:rPr>
              <w:t>投资者</w:t>
            </w:r>
            <w:r>
              <w:rPr>
                <w:rFonts w:ascii="宋体" w:hAnsi="宋体"/>
                <w:szCs w:val="21"/>
              </w:rPr>
              <w:t>可在苏州农商银行营业网点、</w:t>
            </w:r>
            <w:r>
              <w:rPr>
                <w:rFonts w:hint="eastAsia" w:ascii="宋体" w:hAnsi="宋体"/>
                <w:szCs w:val="21"/>
              </w:rPr>
              <w:t>网上</w:t>
            </w:r>
            <w:r>
              <w:rPr>
                <w:rFonts w:ascii="宋体" w:hAnsi="宋体"/>
                <w:szCs w:val="21"/>
              </w:rPr>
              <w:t>银行、手机银行</w:t>
            </w:r>
            <w:r>
              <w:rPr>
                <w:rFonts w:hint="eastAsia" w:ascii="宋体" w:hAnsi="宋体"/>
                <w:szCs w:val="21"/>
              </w:rPr>
              <w:t>、代销</w:t>
            </w:r>
            <w:r>
              <w:rPr>
                <w:rFonts w:ascii="宋体" w:hAnsi="宋体"/>
                <w:szCs w:val="21"/>
              </w:rPr>
              <w:t>机构以及符合监管要求的其他渠道购买本理财产品</w:t>
            </w:r>
            <w:r>
              <w:rPr>
                <w:rFonts w:hint="eastAsia" w:ascii="宋体" w:hAnsi="宋体"/>
                <w:szCs w:val="21"/>
              </w:rPr>
              <w:t>。</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计息说明</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募集期、</w:t>
            </w:r>
            <w:r>
              <w:rPr>
                <w:rFonts w:ascii="宋体" w:hAnsi="宋体"/>
                <w:szCs w:val="21"/>
              </w:rPr>
              <w:t>申购期</w:t>
            </w:r>
            <w:r>
              <w:rPr>
                <w:rFonts w:hint="eastAsia" w:ascii="宋体" w:hAnsi="宋体"/>
                <w:szCs w:val="21"/>
              </w:rPr>
              <w:t>内投资者理财资金计活期利息，</w:t>
            </w:r>
            <w:r>
              <w:rPr>
                <w:rFonts w:ascii="宋体" w:hAnsi="宋体"/>
                <w:szCs w:val="21"/>
              </w:rPr>
              <w:t>该利息不作为认购</w:t>
            </w:r>
            <w:r>
              <w:rPr>
                <w:rFonts w:hint="eastAsia" w:ascii="宋体" w:hAnsi="宋体"/>
                <w:szCs w:val="21"/>
              </w:rPr>
              <w:t>、</w:t>
            </w:r>
            <w:r>
              <w:rPr>
                <w:rFonts w:ascii="宋体" w:hAnsi="宋体"/>
                <w:szCs w:val="21"/>
              </w:rPr>
              <w:t>申购资金扣收</w:t>
            </w:r>
            <w:r>
              <w:rPr>
                <w:rFonts w:hint="eastAsia" w:ascii="宋体" w:hAnsi="宋体"/>
                <w:szCs w:val="21"/>
              </w:rPr>
              <w:t>。</w:t>
            </w:r>
          </w:p>
        </w:tc>
      </w:tr>
      <w:tr>
        <w:tblPrEx>
          <w:tblCellMar>
            <w:top w:w="0" w:type="dxa"/>
            <w:left w:w="0" w:type="dxa"/>
            <w:bottom w:w="0" w:type="dxa"/>
            <w:right w:w="0" w:type="dxa"/>
          </w:tblCellMar>
        </w:tblPrEx>
        <w:trPr>
          <w:trHeight w:val="550" w:hRule="atLeast"/>
          <w:tblHeader/>
        </w:trPr>
        <w:tc>
          <w:tcPr>
            <w:tcW w:w="26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产品费用</w:t>
            </w:r>
          </w:p>
        </w:tc>
        <w:tc>
          <w:tcPr>
            <w:tcW w:w="779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固定管理费：</w:t>
            </w:r>
            <w:r>
              <w:rPr>
                <w:rFonts w:ascii="宋体" w:hAnsi="宋体"/>
                <w:szCs w:val="21"/>
              </w:rPr>
              <w:t>0.80%</w:t>
            </w:r>
            <w:r>
              <w:rPr>
                <w:rFonts w:hint="eastAsia" w:ascii="宋体" w:hAnsi="宋体"/>
                <w:szCs w:val="21"/>
              </w:rPr>
              <w:t>/年（暂行</w:t>
            </w:r>
            <w:r>
              <w:rPr>
                <w:rFonts w:ascii="宋体" w:hAnsi="宋体"/>
                <w:szCs w:val="21"/>
              </w:rPr>
              <w:t>优惠</w:t>
            </w:r>
            <w:r>
              <w:rPr>
                <w:rFonts w:hint="eastAsia" w:ascii="宋体" w:hAnsi="宋体"/>
                <w:szCs w:val="21"/>
              </w:rPr>
              <w:t>0.</w:t>
            </w:r>
            <w:r>
              <w:rPr>
                <w:rFonts w:ascii="宋体" w:hAnsi="宋体"/>
                <w:szCs w:val="21"/>
              </w:rPr>
              <w:t>3</w:t>
            </w:r>
            <w:r>
              <w:rPr>
                <w:rFonts w:hint="eastAsia" w:ascii="宋体" w:hAnsi="宋体"/>
                <w:szCs w:val="21"/>
              </w:rPr>
              <w:t>0</w:t>
            </w:r>
            <w:r>
              <w:rPr>
                <w:rFonts w:ascii="宋体" w:hAnsi="宋体"/>
                <w:szCs w:val="21"/>
              </w:rPr>
              <w:t>%/</w:t>
            </w:r>
            <w:r>
              <w:rPr>
                <w:rFonts w:hint="eastAsia" w:ascii="宋体" w:hAnsi="宋体"/>
                <w:szCs w:val="21"/>
              </w:rPr>
              <w:t>年）</w:t>
            </w:r>
          </w:p>
          <w:p>
            <w:pPr>
              <w:jc w:val="center"/>
              <w:rPr>
                <w:rFonts w:ascii="宋体" w:hAnsi="宋体"/>
                <w:szCs w:val="21"/>
              </w:rPr>
            </w:pPr>
            <w:r>
              <w:rPr>
                <w:rFonts w:hint="eastAsia" w:ascii="宋体" w:hAnsi="宋体"/>
                <w:szCs w:val="21"/>
              </w:rPr>
              <w:t>销售</w:t>
            </w:r>
            <w:r>
              <w:rPr>
                <w:rFonts w:ascii="宋体" w:hAnsi="宋体"/>
                <w:szCs w:val="21"/>
              </w:rPr>
              <w:t>服务费：0.</w:t>
            </w:r>
            <w:r>
              <w:rPr>
                <w:rFonts w:hint="eastAsia" w:ascii="宋体" w:hAnsi="宋体"/>
                <w:szCs w:val="21"/>
              </w:rPr>
              <w:t>1</w:t>
            </w:r>
            <w:r>
              <w:rPr>
                <w:rFonts w:ascii="宋体" w:hAnsi="宋体"/>
                <w:szCs w:val="21"/>
              </w:rPr>
              <w:t>0%</w:t>
            </w:r>
            <w:r>
              <w:rPr>
                <w:rFonts w:hint="eastAsia" w:ascii="宋体" w:hAnsi="宋体"/>
                <w:szCs w:val="21"/>
              </w:rPr>
              <w:t>/年</w:t>
            </w:r>
          </w:p>
          <w:p>
            <w:pPr>
              <w:jc w:val="center"/>
              <w:rPr>
                <w:rFonts w:ascii="宋体" w:hAnsi="宋体"/>
                <w:szCs w:val="21"/>
              </w:rPr>
            </w:pPr>
            <w:r>
              <w:rPr>
                <w:rFonts w:hint="eastAsia" w:ascii="宋体" w:hAnsi="宋体"/>
                <w:szCs w:val="21"/>
              </w:rPr>
              <w:t>托管费：</w:t>
            </w:r>
            <w:r>
              <w:rPr>
                <w:rFonts w:ascii="宋体" w:hAnsi="宋体"/>
                <w:szCs w:val="21"/>
              </w:rPr>
              <w:t>0.01%/</w:t>
            </w:r>
            <w:r>
              <w:rPr>
                <w:rFonts w:hint="eastAsia" w:ascii="宋体" w:hAnsi="宋体"/>
                <w:szCs w:val="21"/>
              </w:rPr>
              <w:t>年</w:t>
            </w:r>
          </w:p>
          <w:p>
            <w:pPr>
              <w:jc w:val="center"/>
              <w:rPr>
                <w:rFonts w:ascii="宋体" w:hAnsi="宋体"/>
                <w:szCs w:val="21"/>
              </w:rPr>
            </w:pPr>
            <w:r>
              <w:rPr>
                <w:rFonts w:hint="eastAsia" w:asciiTheme="minorEastAsia" w:hAnsiTheme="minorEastAsia" w:eastAsiaTheme="minorEastAsia" w:cstheme="minorEastAsia"/>
                <w:kern w:val="0"/>
                <w:szCs w:val="21"/>
              </w:rPr>
              <w:t>费用计提规则详见下文</w:t>
            </w:r>
            <w:r>
              <w:rPr>
                <w:rFonts w:hint="eastAsia" w:asciiTheme="minorEastAsia" w:hAnsiTheme="minorEastAsia" w:eastAsiaTheme="minorEastAsia" w:cstheme="minorEastAsia"/>
              </w:rPr>
              <w:t>“四、</w:t>
            </w:r>
            <w:r>
              <w:rPr>
                <w:rFonts w:asciiTheme="minorEastAsia" w:hAnsiTheme="minorEastAsia" w:eastAsiaTheme="minorEastAsia" w:cstheme="minorEastAsia"/>
              </w:rPr>
              <w:t>1</w:t>
            </w:r>
            <w:r>
              <w:rPr>
                <w:rFonts w:hint="eastAsia" w:asciiTheme="minorEastAsia" w:hAnsiTheme="minorEastAsia" w:eastAsiaTheme="minorEastAsia" w:cstheme="minorEastAsia"/>
              </w:rPr>
              <w:t>由理财产品承担的费用”。</w:t>
            </w:r>
          </w:p>
        </w:tc>
      </w:tr>
      <w:tr>
        <w:tblPrEx>
          <w:tblCellMar>
            <w:top w:w="0" w:type="dxa"/>
            <w:left w:w="0" w:type="dxa"/>
            <w:bottom w:w="0" w:type="dxa"/>
            <w:right w:w="0" w:type="dxa"/>
          </w:tblCellMar>
        </w:tblPrEx>
        <w:trPr>
          <w:trHeight w:val="614"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业绩报酬计提基准</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20" w:firstLineChars="200"/>
              <w:jc w:val="left"/>
              <w:rPr>
                <w:rFonts w:ascii="宋体" w:hAnsi="宋体"/>
                <w:szCs w:val="21"/>
              </w:rPr>
            </w:pPr>
            <w:r>
              <w:rPr>
                <w:rFonts w:hint="eastAsia" w:ascii="宋体" w:hAnsi="宋体"/>
                <w:szCs w:val="21"/>
              </w:rPr>
              <w:t>业绩报酬计提基准用以计算管理人业绩报酬，详见下文“四、</w:t>
            </w:r>
            <w:r>
              <w:rPr>
                <w:rFonts w:ascii="宋体" w:hAnsi="宋体"/>
                <w:szCs w:val="21"/>
              </w:rPr>
              <w:t>2</w:t>
            </w:r>
            <w:r>
              <w:rPr>
                <w:rFonts w:hint="eastAsia" w:ascii="宋体" w:hAnsi="宋体"/>
                <w:szCs w:val="21"/>
              </w:rPr>
              <w:t>业绩报酬”。</w:t>
            </w:r>
          </w:p>
        </w:tc>
      </w:tr>
      <w:tr>
        <w:tblPrEx>
          <w:tblCellMar>
            <w:top w:w="0" w:type="dxa"/>
            <w:left w:w="0" w:type="dxa"/>
            <w:bottom w:w="0" w:type="dxa"/>
            <w:right w:w="0" w:type="dxa"/>
          </w:tblCellMar>
        </w:tblPrEx>
        <w:trPr>
          <w:trHeight w:val="614"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业绩报酬</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420" w:firstLineChars="200"/>
              <w:jc w:val="left"/>
              <w:rPr>
                <w:rFonts w:ascii="宋体" w:hAnsi="宋体"/>
                <w:szCs w:val="21"/>
              </w:rPr>
            </w:pPr>
            <w:r>
              <w:rPr>
                <w:rFonts w:hint="eastAsia" w:ascii="宋体" w:hAnsi="宋体"/>
                <w:szCs w:val="21"/>
              </w:rPr>
              <w:t>业绩报酬由管理人收取，根据业绩报酬计提前产品单位净值、业绩报酬计提基准和业绩报酬计提比例每日计提，详见下文“四、</w:t>
            </w:r>
            <w:r>
              <w:rPr>
                <w:rFonts w:ascii="宋体" w:hAnsi="宋体"/>
                <w:szCs w:val="21"/>
              </w:rPr>
              <w:t>2</w:t>
            </w:r>
            <w:r>
              <w:rPr>
                <w:rFonts w:hint="eastAsia" w:ascii="宋体" w:hAnsi="宋体"/>
                <w:szCs w:val="21"/>
              </w:rPr>
              <w:t>业绩报酬”。</w:t>
            </w:r>
          </w:p>
        </w:tc>
      </w:tr>
      <w:tr>
        <w:tblPrEx>
          <w:tblCellMar>
            <w:top w:w="0" w:type="dxa"/>
            <w:left w:w="0" w:type="dxa"/>
            <w:bottom w:w="0" w:type="dxa"/>
            <w:right w:w="0" w:type="dxa"/>
          </w:tblCellMar>
        </w:tblPrEx>
        <w:trPr>
          <w:trHeight w:val="291" w:hRule="atLeast"/>
          <w:tblHeader/>
        </w:trPr>
        <w:tc>
          <w:tcPr>
            <w:tcW w:w="26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投资</w:t>
            </w:r>
            <w:r>
              <w:rPr>
                <w:rFonts w:ascii="宋体" w:hAnsi="宋体"/>
                <w:szCs w:val="21"/>
              </w:rPr>
              <w:t>起点</w:t>
            </w:r>
            <w:r>
              <w:rPr>
                <w:rFonts w:hint="eastAsia" w:ascii="宋体" w:hAnsi="宋体"/>
                <w:szCs w:val="21"/>
              </w:rPr>
              <w:t>金额</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1万元</w:t>
            </w:r>
          </w:p>
        </w:tc>
      </w:tr>
      <w:tr>
        <w:tblPrEx>
          <w:tblCellMar>
            <w:top w:w="0" w:type="dxa"/>
            <w:left w:w="0" w:type="dxa"/>
            <w:bottom w:w="0" w:type="dxa"/>
            <w:right w:w="0" w:type="dxa"/>
          </w:tblCellMar>
        </w:tblPrEx>
        <w:trPr>
          <w:trHeight w:val="291" w:hRule="atLeast"/>
          <w:tblHeader/>
        </w:trPr>
        <w:tc>
          <w:tcPr>
            <w:tcW w:w="269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投资金额递增单位</w:t>
            </w:r>
          </w:p>
        </w:tc>
        <w:tc>
          <w:tcPr>
            <w:tcW w:w="77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ascii="宋体" w:hAnsi="宋体"/>
                <w:szCs w:val="21"/>
              </w:rPr>
              <w:t>1000</w:t>
            </w:r>
            <w:r>
              <w:rPr>
                <w:rFonts w:hint="eastAsia" w:ascii="宋体" w:hAnsi="宋体"/>
                <w:szCs w:val="21"/>
              </w:rPr>
              <w:t>元</w:t>
            </w:r>
          </w:p>
        </w:tc>
      </w:tr>
      <w:tr>
        <w:tblPrEx>
          <w:tblCellMar>
            <w:top w:w="0" w:type="dxa"/>
            <w:left w:w="0" w:type="dxa"/>
            <w:bottom w:w="0" w:type="dxa"/>
            <w:right w:w="0" w:type="dxa"/>
          </w:tblCellMar>
        </w:tblPrEx>
        <w:trPr>
          <w:trHeight w:val="291" w:hRule="atLeast"/>
          <w:tblHeader/>
        </w:trPr>
        <w:tc>
          <w:tcPr>
            <w:tcW w:w="26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税款</w:t>
            </w:r>
          </w:p>
        </w:tc>
        <w:tc>
          <w:tcPr>
            <w:tcW w:w="779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苏州农商银行不负责代扣代缴投资者购买本产品的所得税款。</w:t>
            </w:r>
          </w:p>
        </w:tc>
      </w:tr>
    </w:tbl>
    <w:p>
      <w:pPr>
        <w:autoSpaceDE w:val="0"/>
        <w:autoSpaceDN w:val="0"/>
        <w:adjustRightInd w:val="0"/>
        <w:spacing w:before="120" w:line="220" w:lineRule="exact"/>
        <w:jc w:val="left"/>
        <w:rPr>
          <w:rFonts w:ascii="黑体" w:eastAsia="黑体" w:cs="黑体"/>
          <w:b/>
          <w:kern w:val="0"/>
          <w:szCs w:val="21"/>
        </w:rPr>
      </w:pPr>
      <w:r>
        <w:rPr>
          <w:rFonts w:hint="eastAsia" w:ascii="黑体" w:eastAsia="黑体" w:cs="黑体"/>
          <w:b/>
          <w:kern w:val="0"/>
          <w:szCs w:val="21"/>
        </w:rPr>
        <w:t>二、投资管理</w:t>
      </w:r>
    </w:p>
    <w:p>
      <w:pPr>
        <w:spacing w:line="220" w:lineRule="exact"/>
        <w:ind w:firstLine="422" w:firstLineChars="200"/>
        <w:rPr>
          <w:rFonts w:ascii="黑体" w:eastAsia="黑体" w:cs="黑体"/>
          <w:b/>
          <w:kern w:val="0"/>
          <w:szCs w:val="21"/>
        </w:rPr>
      </w:pPr>
      <w:r>
        <w:rPr>
          <w:rFonts w:hint="eastAsia" w:ascii="黑体" w:eastAsia="黑体" w:cs="黑体"/>
          <w:b/>
          <w:kern w:val="0"/>
          <w:szCs w:val="21"/>
        </w:rPr>
        <w:t>1、投资范围及比例</w:t>
      </w:r>
    </w:p>
    <w:p>
      <w:pPr>
        <w:ind w:firstLine="420" w:firstLineChars="200"/>
        <w:rPr>
          <w:rFonts w:ascii="宋体" w:hAnsi="宋体"/>
          <w:bCs/>
          <w:szCs w:val="21"/>
        </w:rPr>
      </w:pPr>
      <w:r>
        <w:rPr>
          <w:rFonts w:hint="eastAsia" w:ascii="宋体" w:hAnsi="宋体"/>
          <w:bCs/>
          <w:szCs w:val="21"/>
        </w:rPr>
        <w:t>“锦鲤鱼鑫动季享”净值型人民币理财产品具体投资范围包括：</w:t>
      </w:r>
    </w:p>
    <w:tbl>
      <w:tblPr>
        <w:tblStyle w:val="16"/>
        <w:tblW w:w="10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843"/>
        <w:gridCol w:w="6095"/>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84" w:type="dxa"/>
            <w:vAlign w:val="center"/>
          </w:tcPr>
          <w:p>
            <w:pPr>
              <w:jc w:val="center"/>
              <w:rPr>
                <w:rFonts w:ascii="宋体"/>
                <w:bCs/>
                <w:szCs w:val="21"/>
              </w:rPr>
            </w:pPr>
            <w:r>
              <w:rPr>
                <w:rFonts w:hint="eastAsia" w:ascii="宋体" w:hAnsi="宋体"/>
                <w:bCs/>
                <w:szCs w:val="21"/>
              </w:rPr>
              <w:t>资产类别</w:t>
            </w:r>
          </w:p>
        </w:tc>
        <w:tc>
          <w:tcPr>
            <w:tcW w:w="7938" w:type="dxa"/>
            <w:gridSpan w:val="2"/>
            <w:vAlign w:val="center"/>
          </w:tcPr>
          <w:p>
            <w:pPr>
              <w:jc w:val="center"/>
              <w:rPr>
                <w:rFonts w:ascii="宋体"/>
                <w:bCs/>
                <w:szCs w:val="21"/>
              </w:rPr>
            </w:pPr>
            <w:r>
              <w:rPr>
                <w:rFonts w:hint="eastAsia" w:ascii="宋体" w:hAnsi="宋体"/>
                <w:bCs/>
                <w:szCs w:val="21"/>
              </w:rPr>
              <w:t>资产种类</w:t>
            </w:r>
          </w:p>
        </w:tc>
        <w:tc>
          <w:tcPr>
            <w:tcW w:w="1360" w:type="dxa"/>
            <w:vAlign w:val="center"/>
          </w:tcPr>
          <w:p>
            <w:pPr>
              <w:jc w:val="center"/>
              <w:rPr>
                <w:rFonts w:ascii="宋体"/>
                <w:bCs/>
                <w:szCs w:val="21"/>
              </w:rPr>
            </w:pPr>
            <w:r>
              <w:rPr>
                <w:rFonts w:hint="eastAsia" w:ascii="宋体" w:hAnsi="宋体"/>
                <w:bCs/>
                <w:szCs w:val="21"/>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restart"/>
            <w:vAlign w:val="center"/>
          </w:tcPr>
          <w:p>
            <w:pPr>
              <w:jc w:val="center"/>
              <w:rPr>
                <w:rFonts w:ascii="宋体"/>
                <w:bCs/>
                <w:szCs w:val="21"/>
              </w:rPr>
            </w:pPr>
            <w:r>
              <w:rPr>
                <w:rFonts w:hint="eastAsia" w:ascii="宋体" w:hAnsi="宋体"/>
                <w:bCs/>
                <w:szCs w:val="21"/>
              </w:rPr>
              <w:t>固定收益类</w:t>
            </w:r>
          </w:p>
        </w:tc>
        <w:tc>
          <w:tcPr>
            <w:tcW w:w="1843" w:type="dxa"/>
            <w:vAlign w:val="center"/>
          </w:tcPr>
          <w:p>
            <w:pPr>
              <w:jc w:val="center"/>
              <w:rPr>
                <w:rFonts w:ascii="宋体"/>
                <w:bCs/>
                <w:szCs w:val="21"/>
              </w:rPr>
            </w:pPr>
            <w:r>
              <w:rPr>
                <w:rFonts w:hint="eastAsia" w:ascii="宋体" w:hAnsi="宋体"/>
                <w:bCs/>
                <w:szCs w:val="21"/>
              </w:rPr>
              <w:t>货币市场工具类</w:t>
            </w:r>
          </w:p>
        </w:tc>
        <w:tc>
          <w:tcPr>
            <w:tcW w:w="6095" w:type="dxa"/>
            <w:vAlign w:val="center"/>
          </w:tcPr>
          <w:p>
            <w:pPr>
              <w:jc w:val="center"/>
              <w:rPr>
                <w:rFonts w:ascii="宋体"/>
                <w:bCs/>
                <w:szCs w:val="21"/>
              </w:rPr>
            </w:pPr>
            <w:r>
              <w:rPr>
                <w:rFonts w:hint="eastAsia" w:ascii="宋体" w:hAnsi="宋体"/>
                <w:bCs/>
                <w:szCs w:val="21"/>
              </w:rPr>
              <w:t>包括但不限于现金、银行存款、回购、同业存款、同业拆借、货币基金、大额存单、同业存单、标准化票据等</w:t>
            </w:r>
          </w:p>
        </w:tc>
        <w:tc>
          <w:tcPr>
            <w:tcW w:w="1360" w:type="dxa"/>
            <w:vMerge w:val="restart"/>
            <w:vAlign w:val="center"/>
          </w:tcPr>
          <w:p>
            <w:pPr>
              <w:jc w:val="center"/>
              <w:rPr>
                <w:rFonts w:ascii="宋体" w:hAnsi="宋体"/>
                <w:bCs/>
                <w:szCs w:val="21"/>
              </w:rPr>
            </w:pPr>
            <w:r>
              <w:rPr>
                <w:rFonts w:hint="eastAsia" w:ascii="宋体" w:hAnsi="宋体"/>
                <w:bCs/>
                <w:szCs w:val="21"/>
              </w:rPr>
              <w:t>不低于</w:t>
            </w:r>
            <w:r>
              <w:rPr>
                <w:rFonts w:ascii="宋体" w:hAnsi="宋体"/>
                <w:bCs/>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pPr>
              <w:jc w:val="center"/>
              <w:rPr>
                <w:rFonts w:ascii="宋体"/>
                <w:bCs/>
                <w:szCs w:val="21"/>
              </w:rPr>
            </w:pPr>
          </w:p>
        </w:tc>
        <w:tc>
          <w:tcPr>
            <w:tcW w:w="1843" w:type="dxa"/>
            <w:vAlign w:val="center"/>
          </w:tcPr>
          <w:p>
            <w:pPr>
              <w:jc w:val="center"/>
              <w:rPr>
                <w:rFonts w:ascii="宋体"/>
                <w:bCs/>
                <w:szCs w:val="21"/>
              </w:rPr>
            </w:pPr>
            <w:r>
              <w:rPr>
                <w:rFonts w:hint="eastAsia" w:ascii="宋体" w:hAnsi="宋体"/>
                <w:bCs/>
                <w:szCs w:val="21"/>
              </w:rPr>
              <w:t>债券类</w:t>
            </w:r>
          </w:p>
        </w:tc>
        <w:tc>
          <w:tcPr>
            <w:tcW w:w="6095" w:type="dxa"/>
            <w:vAlign w:val="center"/>
          </w:tcPr>
          <w:p>
            <w:pPr>
              <w:jc w:val="center"/>
              <w:rPr>
                <w:rFonts w:ascii="宋体"/>
                <w:bCs/>
                <w:szCs w:val="21"/>
              </w:rPr>
            </w:pPr>
            <w:r>
              <w:rPr>
                <w:rFonts w:hint="eastAsia" w:ascii="宋体" w:hAnsi="宋体"/>
                <w:bCs/>
                <w:szCs w:val="21"/>
              </w:rPr>
              <w:t>银行间和交易所市场发行的债券，包括但不限于国债、地方政府债、金融债、央票、同业存单、短期融资券、中期票据、企业债、公司债、非公开定向债务融资工具</w:t>
            </w:r>
            <w:r>
              <w:rPr>
                <w:rFonts w:ascii="宋体" w:hAnsi="宋体"/>
                <w:bCs/>
                <w:szCs w:val="21"/>
              </w:rPr>
              <w:t>&lt;PPN&gt;</w:t>
            </w:r>
            <w:r>
              <w:rPr>
                <w:rFonts w:hint="eastAsia" w:ascii="宋体" w:hAnsi="宋体"/>
                <w:bCs/>
                <w:szCs w:val="21"/>
              </w:rPr>
              <w:t>、资产支持证券、可转换债券、可交换债券等</w:t>
            </w:r>
          </w:p>
        </w:tc>
        <w:tc>
          <w:tcPr>
            <w:tcW w:w="1360" w:type="dxa"/>
            <w:vMerge w:val="continue"/>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pPr>
              <w:jc w:val="center"/>
              <w:rPr>
                <w:rFonts w:ascii="宋体"/>
                <w:bCs/>
                <w:szCs w:val="21"/>
              </w:rPr>
            </w:pPr>
          </w:p>
        </w:tc>
        <w:tc>
          <w:tcPr>
            <w:tcW w:w="1843" w:type="dxa"/>
            <w:vAlign w:val="center"/>
          </w:tcPr>
          <w:p>
            <w:pPr>
              <w:jc w:val="center"/>
              <w:rPr>
                <w:rFonts w:ascii="宋体"/>
                <w:bCs/>
                <w:szCs w:val="21"/>
              </w:rPr>
            </w:pPr>
            <w:r>
              <w:rPr>
                <w:rFonts w:hint="eastAsia" w:ascii="宋体" w:hAnsi="宋体"/>
                <w:bCs/>
                <w:szCs w:val="21"/>
              </w:rPr>
              <w:t>其他固定收益类</w:t>
            </w:r>
          </w:p>
        </w:tc>
        <w:tc>
          <w:tcPr>
            <w:tcW w:w="6095" w:type="dxa"/>
            <w:vAlign w:val="center"/>
          </w:tcPr>
          <w:p>
            <w:pPr>
              <w:jc w:val="center"/>
              <w:rPr>
                <w:rFonts w:ascii="宋体"/>
                <w:bCs/>
                <w:szCs w:val="21"/>
              </w:rPr>
            </w:pPr>
            <w:r>
              <w:rPr>
                <w:rFonts w:hint="eastAsia" w:ascii="宋体" w:hAnsi="宋体"/>
                <w:bCs/>
                <w:szCs w:val="21"/>
              </w:rPr>
              <w:t>包括但不限于同业借款、非标准化债权资产、北京金融资产交易所委托债权、理财直接融资工具、信贷资产流转产品、优先股等</w:t>
            </w:r>
          </w:p>
        </w:tc>
        <w:tc>
          <w:tcPr>
            <w:tcW w:w="1360" w:type="dxa"/>
            <w:vMerge w:val="continue"/>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pPr>
              <w:jc w:val="center"/>
              <w:rPr>
                <w:rFonts w:ascii="宋体"/>
                <w:bCs/>
                <w:szCs w:val="21"/>
              </w:rPr>
            </w:pPr>
          </w:p>
        </w:tc>
        <w:tc>
          <w:tcPr>
            <w:tcW w:w="7938" w:type="dxa"/>
            <w:gridSpan w:val="2"/>
            <w:vAlign w:val="center"/>
          </w:tcPr>
          <w:p>
            <w:pPr>
              <w:jc w:val="center"/>
              <w:rPr>
                <w:rFonts w:ascii="宋体"/>
                <w:bCs/>
                <w:szCs w:val="21"/>
              </w:rPr>
            </w:pPr>
            <w:r>
              <w:rPr>
                <w:rFonts w:hint="eastAsia" w:ascii="宋体" w:hAnsi="宋体"/>
                <w:bCs/>
                <w:szCs w:val="21"/>
              </w:rPr>
              <w:t>固定收益类公募证券投资基金及持有金融机构牌照的机构发行的资产管理产品中的固定收益类资产</w:t>
            </w:r>
          </w:p>
        </w:tc>
        <w:tc>
          <w:tcPr>
            <w:tcW w:w="1360" w:type="dxa"/>
            <w:vMerge w:val="continue"/>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restart"/>
            <w:vAlign w:val="center"/>
          </w:tcPr>
          <w:p>
            <w:pPr>
              <w:jc w:val="center"/>
              <w:rPr>
                <w:rFonts w:ascii="宋体"/>
                <w:bCs/>
                <w:szCs w:val="21"/>
              </w:rPr>
            </w:pPr>
            <w:r>
              <w:rPr>
                <w:rFonts w:hint="eastAsia" w:ascii="宋体" w:hAnsi="宋体"/>
                <w:bCs/>
                <w:szCs w:val="21"/>
              </w:rPr>
              <w:t>其他类</w:t>
            </w:r>
          </w:p>
        </w:tc>
        <w:tc>
          <w:tcPr>
            <w:tcW w:w="1843" w:type="dxa"/>
            <w:vAlign w:val="center"/>
          </w:tcPr>
          <w:p>
            <w:pPr>
              <w:jc w:val="center"/>
              <w:rPr>
                <w:rFonts w:ascii="宋体"/>
                <w:bCs/>
                <w:szCs w:val="21"/>
              </w:rPr>
            </w:pPr>
            <w:r>
              <w:rPr>
                <w:rFonts w:hint="eastAsia" w:ascii="宋体" w:hAnsi="宋体"/>
                <w:bCs/>
                <w:szCs w:val="21"/>
              </w:rPr>
              <w:t>衍生品类</w:t>
            </w:r>
          </w:p>
        </w:tc>
        <w:tc>
          <w:tcPr>
            <w:tcW w:w="6095" w:type="dxa"/>
            <w:vAlign w:val="center"/>
          </w:tcPr>
          <w:p>
            <w:pPr>
              <w:jc w:val="center"/>
              <w:rPr>
                <w:rFonts w:ascii="宋体"/>
                <w:bCs/>
                <w:szCs w:val="21"/>
              </w:rPr>
            </w:pPr>
            <w:r>
              <w:rPr>
                <w:rFonts w:hint="eastAsia" w:ascii="宋体" w:hAnsi="宋体"/>
                <w:bCs/>
                <w:szCs w:val="21"/>
              </w:rPr>
              <w:t>限于信用风险缓释合约、信用风险缓释凭证、信用违约互换、信用联结票据等</w:t>
            </w:r>
          </w:p>
        </w:tc>
        <w:tc>
          <w:tcPr>
            <w:tcW w:w="1360" w:type="dxa"/>
            <w:vMerge w:val="restart"/>
            <w:vAlign w:val="center"/>
          </w:tcPr>
          <w:p>
            <w:pPr>
              <w:jc w:val="center"/>
              <w:rPr>
                <w:rFonts w:ascii="宋体" w:hAnsi="宋体"/>
                <w:bCs/>
                <w:szCs w:val="21"/>
              </w:rPr>
            </w:pPr>
            <w:r>
              <w:rPr>
                <w:rFonts w:hint="eastAsia" w:ascii="宋体" w:hAnsi="宋体"/>
                <w:bCs/>
                <w:szCs w:val="21"/>
              </w:rPr>
              <w:t>不高于</w:t>
            </w:r>
            <w:r>
              <w:rPr>
                <w:rFonts w:ascii="宋体" w:hAnsi="宋体"/>
                <w:bCs/>
                <w:szCs w:val="21"/>
              </w:rPr>
              <w:t>2</w:t>
            </w:r>
            <w:r>
              <w:rPr>
                <w:rFonts w:ascii="宋体"/>
                <w:bCs/>
                <w:szCs w:val="21"/>
              </w:rPr>
              <w:t>0</w:t>
            </w:r>
            <w:r>
              <w:rPr>
                <w:rFonts w:ascii="宋体" w:hAnsi="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pPr>
              <w:jc w:val="center"/>
              <w:rPr>
                <w:rFonts w:ascii="宋体"/>
                <w:bCs/>
                <w:szCs w:val="21"/>
              </w:rPr>
            </w:pPr>
          </w:p>
        </w:tc>
        <w:tc>
          <w:tcPr>
            <w:tcW w:w="1843" w:type="dxa"/>
            <w:vAlign w:val="center"/>
          </w:tcPr>
          <w:p>
            <w:pPr>
              <w:jc w:val="center"/>
              <w:rPr>
                <w:rFonts w:ascii="宋体"/>
                <w:bCs/>
                <w:szCs w:val="21"/>
              </w:rPr>
            </w:pPr>
            <w:r>
              <w:rPr>
                <w:rFonts w:hint="eastAsia" w:ascii="宋体" w:hAnsi="宋体"/>
                <w:bCs/>
                <w:szCs w:val="21"/>
              </w:rPr>
              <w:t>权益类</w:t>
            </w:r>
          </w:p>
        </w:tc>
        <w:tc>
          <w:tcPr>
            <w:tcW w:w="6095" w:type="dxa"/>
            <w:vAlign w:val="center"/>
          </w:tcPr>
          <w:p>
            <w:pPr>
              <w:jc w:val="center"/>
              <w:rPr>
                <w:rFonts w:ascii="宋体"/>
                <w:bCs/>
                <w:szCs w:val="21"/>
              </w:rPr>
            </w:pPr>
            <w:r>
              <w:rPr>
                <w:rFonts w:hint="eastAsia" w:ascii="宋体" w:hAnsi="宋体"/>
                <w:bCs/>
                <w:szCs w:val="21"/>
              </w:rPr>
              <w:t>包括但不限于股票、股票型证券投资基金、股票</w:t>
            </w:r>
            <w:r>
              <w:rPr>
                <w:rFonts w:ascii="宋体" w:hAnsi="宋体"/>
                <w:bCs/>
                <w:szCs w:val="21"/>
              </w:rPr>
              <w:t>ETF</w:t>
            </w:r>
            <w:r>
              <w:rPr>
                <w:rFonts w:hint="eastAsia" w:ascii="宋体" w:hAnsi="宋体"/>
                <w:bCs/>
                <w:szCs w:val="21"/>
              </w:rPr>
              <w:t>及其连接基金、股票</w:t>
            </w:r>
            <w:r>
              <w:rPr>
                <w:rFonts w:ascii="宋体" w:hAnsi="宋体"/>
                <w:bCs/>
                <w:szCs w:val="21"/>
              </w:rPr>
              <w:t>LOF</w:t>
            </w:r>
            <w:r>
              <w:rPr>
                <w:rFonts w:hint="eastAsia" w:ascii="宋体" w:hAnsi="宋体"/>
                <w:bCs/>
                <w:szCs w:val="21"/>
              </w:rPr>
              <w:t>以及法律法规允许或监管部门批准的其他具备权益特征的资产和资产组合</w:t>
            </w:r>
          </w:p>
        </w:tc>
        <w:tc>
          <w:tcPr>
            <w:tcW w:w="1360" w:type="dxa"/>
            <w:vMerge w:val="continue"/>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pPr>
              <w:jc w:val="center"/>
              <w:rPr>
                <w:rFonts w:ascii="宋体"/>
                <w:bCs/>
                <w:szCs w:val="21"/>
              </w:rPr>
            </w:pPr>
          </w:p>
        </w:tc>
        <w:tc>
          <w:tcPr>
            <w:tcW w:w="7938" w:type="dxa"/>
            <w:gridSpan w:val="2"/>
            <w:vAlign w:val="center"/>
          </w:tcPr>
          <w:p>
            <w:pPr>
              <w:jc w:val="center"/>
              <w:rPr>
                <w:rFonts w:ascii="宋体"/>
                <w:bCs/>
                <w:szCs w:val="21"/>
              </w:rPr>
            </w:pPr>
            <w:r>
              <w:rPr>
                <w:rFonts w:hint="eastAsia" w:ascii="宋体" w:hAnsi="宋体"/>
                <w:bCs/>
                <w:szCs w:val="21"/>
              </w:rPr>
              <w:t>非固定收益类公募证券投资基金及持有金融机构牌照的机构发行的资产管理产品中的非固定收益类资产</w:t>
            </w:r>
          </w:p>
        </w:tc>
        <w:tc>
          <w:tcPr>
            <w:tcW w:w="1360" w:type="dxa"/>
            <w:vMerge w:val="continue"/>
            <w:vAlign w:val="center"/>
          </w:tcPr>
          <w:p>
            <w:pPr>
              <w:jc w:val="center"/>
              <w:rPr>
                <w:rFonts w:ascii="宋体"/>
                <w:bCs/>
                <w:szCs w:val="21"/>
              </w:rPr>
            </w:pPr>
          </w:p>
        </w:tc>
      </w:tr>
    </w:tbl>
    <w:p>
      <w:pPr>
        <w:rPr>
          <w:rFonts w:ascii="宋体" w:hAnsi="宋体"/>
          <w:bCs/>
          <w:szCs w:val="21"/>
        </w:rPr>
      </w:pPr>
    </w:p>
    <w:p>
      <w:pPr>
        <w:ind w:firstLine="420" w:firstLineChars="200"/>
        <w:rPr>
          <w:rFonts w:ascii="宋体" w:hAnsi="宋体"/>
          <w:bCs/>
          <w:szCs w:val="21"/>
        </w:rPr>
      </w:pPr>
      <w:r>
        <w:rPr>
          <w:rFonts w:hint="eastAsia" w:ascii="宋体" w:hAnsi="宋体"/>
          <w:bCs/>
          <w:szCs w:val="21"/>
        </w:rPr>
        <w:t>本产品投资于债券和货币市场工具的，交易对手为：全国银行间和交易所债券市场、银行间同业拆借市场参与者。</w:t>
      </w:r>
    </w:p>
    <w:p>
      <w:pPr>
        <w:spacing w:line="220" w:lineRule="exact"/>
        <w:ind w:firstLine="422" w:firstLineChars="200"/>
        <w:rPr>
          <w:rFonts w:ascii="黑体" w:eastAsia="黑体" w:cs="黑体"/>
          <w:b/>
          <w:kern w:val="0"/>
          <w:szCs w:val="21"/>
        </w:rPr>
      </w:pPr>
      <w:r>
        <w:rPr>
          <w:rFonts w:hint="eastAsia" w:ascii="黑体" w:eastAsia="黑体" w:cs="黑体"/>
          <w:b/>
          <w:kern w:val="0"/>
          <w:szCs w:val="21"/>
        </w:rPr>
        <w:t>2、参与主体</w:t>
      </w:r>
    </w:p>
    <w:p>
      <w:pPr>
        <w:ind w:firstLine="420" w:firstLineChars="200"/>
        <w:rPr>
          <w:rFonts w:ascii="宋体" w:hAnsi="宋体"/>
          <w:bCs/>
          <w:szCs w:val="21"/>
        </w:rPr>
      </w:pPr>
      <w:r>
        <w:rPr>
          <w:rFonts w:hint="eastAsia" w:ascii="宋体" w:hAnsi="宋体"/>
          <w:bCs/>
          <w:szCs w:val="21"/>
        </w:rPr>
        <w:t>产品发行人、</w:t>
      </w:r>
      <w:r>
        <w:rPr>
          <w:rFonts w:ascii="宋体" w:hAnsi="宋体"/>
          <w:bCs/>
          <w:szCs w:val="21"/>
        </w:rPr>
        <w:t>管理人</w:t>
      </w:r>
      <w:r>
        <w:rPr>
          <w:rFonts w:hint="eastAsia" w:ascii="宋体" w:hAnsi="宋体"/>
          <w:bCs/>
          <w:szCs w:val="21"/>
        </w:rPr>
        <w:t>：江苏苏州农村商业银行股份</w:t>
      </w:r>
      <w:r>
        <w:rPr>
          <w:rFonts w:ascii="宋体" w:hAnsi="宋体"/>
          <w:bCs/>
          <w:szCs w:val="21"/>
        </w:rPr>
        <w:t>有限</w:t>
      </w:r>
      <w:r>
        <w:rPr>
          <w:rFonts w:hint="eastAsia" w:ascii="宋体" w:hAnsi="宋体"/>
          <w:bCs/>
          <w:szCs w:val="21"/>
        </w:rPr>
        <w:t>公司。</w:t>
      </w:r>
    </w:p>
    <w:p>
      <w:pPr>
        <w:ind w:firstLine="420" w:firstLineChars="200"/>
        <w:rPr>
          <w:rFonts w:ascii="宋体" w:hAnsi="宋体"/>
          <w:bCs/>
          <w:szCs w:val="21"/>
        </w:rPr>
      </w:pPr>
      <w:r>
        <w:rPr>
          <w:rFonts w:hint="eastAsia" w:ascii="宋体" w:hAnsi="宋体"/>
          <w:bCs/>
          <w:szCs w:val="21"/>
        </w:rPr>
        <w:t>理财资产托管人：宁波银行股份</w:t>
      </w:r>
      <w:r>
        <w:rPr>
          <w:rFonts w:ascii="宋体" w:hAnsi="宋体"/>
          <w:bCs/>
          <w:szCs w:val="21"/>
        </w:rPr>
        <w:t>有限公司</w:t>
      </w:r>
      <w:r>
        <w:rPr>
          <w:rFonts w:hint="eastAsia" w:ascii="宋体" w:hAnsi="宋体"/>
          <w:bCs/>
          <w:szCs w:val="21"/>
        </w:rPr>
        <w:t>。</w:t>
      </w:r>
    </w:p>
    <w:p>
      <w:pPr>
        <w:ind w:firstLine="420" w:firstLineChars="200"/>
        <w:rPr>
          <w:rFonts w:ascii="宋体" w:hAnsi="宋体"/>
          <w:bCs/>
          <w:szCs w:val="21"/>
        </w:rPr>
      </w:pPr>
      <w:r>
        <w:rPr>
          <w:rFonts w:hint="eastAsia" w:ascii="宋体" w:hAnsi="宋体"/>
          <w:bCs/>
          <w:szCs w:val="21"/>
        </w:rPr>
        <w:t>宁波银行股份有限公司为全国性股份制商业银行</w:t>
      </w:r>
      <w:r>
        <w:rPr>
          <w:rFonts w:ascii="宋体" w:hAnsi="宋体"/>
          <w:bCs/>
          <w:szCs w:val="21"/>
        </w:rPr>
        <w:t>。</w:t>
      </w:r>
      <w:r>
        <w:rPr>
          <w:rFonts w:hint="eastAsia" w:ascii="宋体" w:hAnsi="宋体"/>
          <w:bCs/>
          <w:szCs w:val="21"/>
        </w:rPr>
        <w:t>作为</w:t>
      </w:r>
      <w:r>
        <w:rPr>
          <w:rFonts w:ascii="宋体" w:hAnsi="宋体"/>
          <w:bCs/>
          <w:szCs w:val="21"/>
        </w:rPr>
        <w:t>托管人</w:t>
      </w:r>
      <w:r>
        <w:rPr>
          <w:rFonts w:hint="eastAsia" w:ascii="宋体" w:hAnsi="宋体"/>
          <w:bCs/>
          <w:szCs w:val="21"/>
        </w:rPr>
        <w:t>，宁波银行股份</w:t>
      </w:r>
      <w:r>
        <w:rPr>
          <w:rFonts w:ascii="宋体" w:hAnsi="宋体"/>
          <w:bCs/>
          <w:szCs w:val="21"/>
        </w:rPr>
        <w:t>有限公司</w:t>
      </w:r>
      <w:r>
        <w:rPr>
          <w:rFonts w:hint="eastAsia" w:ascii="宋体" w:hAnsi="宋体"/>
          <w:bCs/>
          <w:szCs w:val="21"/>
        </w:rPr>
        <w:t>的</w:t>
      </w:r>
      <w:r>
        <w:rPr>
          <w:rFonts w:ascii="宋体" w:hAnsi="宋体"/>
          <w:bCs/>
          <w:szCs w:val="21"/>
        </w:rPr>
        <w:t>职责为：</w:t>
      </w:r>
    </w:p>
    <w:p>
      <w:pPr>
        <w:ind w:firstLine="420" w:firstLineChars="200"/>
        <w:rPr>
          <w:rFonts w:ascii="宋体" w:hAnsi="宋体"/>
          <w:bCs/>
          <w:szCs w:val="21"/>
        </w:rPr>
      </w:pPr>
      <w:r>
        <w:rPr>
          <w:rFonts w:hint="eastAsia" w:ascii="宋体" w:hAnsi="宋体"/>
          <w:bCs/>
          <w:szCs w:val="21"/>
        </w:rPr>
        <w:t>（1）安全保管理财产品财产；</w:t>
      </w:r>
    </w:p>
    <w:p>
      <w:pPr>
        <w:ind w:firstLine="420" w:firstLineChars="200"/>
        <w:rPr>
          <w:rFonts w:ascii="宋体" w:hAnsi="宋体"/>
          <w:bCs/>
          <w:szCs w:val="21"/>
        </w:rPr>
      </w:pPr>
      <w:r>
        <w:rPr>
          <w:rFonts w:hint="eastAsia" w:ascii="宋体" w:hAnsi="宋体"/>
          <w:bCs/>
          <w:szCs w:val="21"/>
        </w:rPr>
        <w:t>（2）按照托管协议约定和理财产品管理人的投资指令，及时办理清算、交割事宜；</w:t>
      </w:r>
    </w:p>
    <w:p>
      <w:pPr>
        <w:ind w:firstLine="420" w:firstLineChars="200"/>
        <w:rPr>
          <w:rFonts w:ascii="宋体" w:hAnsi="宋体"/>
          <w:bCs/>
          <w:szCs w:val="21"/>
        </w:rPr>
      </w:pPr>
      <w:r>
        <w:rPr>
          <w:rFonts w:hint="eastAsia" w:ascii="宋体" w:hAnsi="宋体"/>
          <w:bCs/>
          <w:szCs w:val="21"/>
        </w:rPr>
        <w:t>（3）监督理财产品投资运作以及监管部门</w:t>
      </w:r>
      <w:r>
        <w:rPr>
          <w:rFonts w:ascii="宋体" w:hAnsi="宋体"/>
          <w:bCs/>
          <w:szCs w:val="21"/>
        </w:rPr>
        <w:t>规定其他</w:t>
      </w:r>
      <w:r>
        <w:rPr>
          <w:rFonts w:hint="eastAsia" w:ascii="宋体" w:hAnsi="宋体"/>
          <w:bCs/>
          <w:szCs w:val="21"/>
        </w:rPr>
        <w:t>职责。</w:t>
      </w:r>
    </w:p>
    <w:p>
      <w:pPr>
        <w:spacing w:line="240" w:lineRule="exact"/>
        <w:rPr>
          <w:rFonts w:ascii="黑体" w:eastAsia="黑体" w:cs="黑体"/>
          <w:b/>
          <w:kern w:val="0"/>
          <w:szCs w:val="21"/>
        </w:rPr>
      </w:pPr>
      <w:r>
        <w:rPr>
          <w:rFonts w:hint="eastAsia" w:ascii="黑体" w:eastAsia="黑体" w:cs="黑体"/>
          <w:b/>
          <w:kern w:val="0"/>
          <w:szCs w:val="21"/>
        </w:rPr>
        <w:t>三、</w:t>
      </w:r>
      <w:r>
        <w:rPr>
          <w:rFonts w:ascii="黑体" w:eastAsia="黑体" w:cs="黑体"/>
          <w:b/>
          <w:kern w:val="0"/>
          <w:szCs w:val="21"/>
        </w:rPr>
        <w:t>理财产品的认购、申购与赎回</w:t>
      </w:r>
    </w:p>
    <w:p>
      <w:pPr>
        <w:spacing w:line="240" w:lineRule="exact"/>
        <w:ind w:firstLine="435"/>
        <w:rPr>
          <w:rFonts w:ascii="宋体" w:hAnsi="宋体"/>
          <w:b/>
          <w:bCs/>
          <w:szCs w:val="21"/>
        </w:rPr>
      </w:pPr>
      <w:r>
        <w:rPr>
          <w:rFonts w:hint="eastAsia" w:ascii="宋体" w:hAnsi="宋体"/>
          <w:b/>
          <w:bCs/>
          <w:szCs w:val="21"/>
        </w:rPr>
        <w:t>1、理财产品</w:t>
      </w:r>
      <w:r>
        <w:rPr>
          <w:rFonts w:ascii="宋体" w:hAnsi="宋体"/>
          <w:b/>
          <w:bCs/>
          <w:szCs w:val="21"/>
        </w:rPr>
        <w:t>的认购</w:t>
      </w:r>
    </w:p>
    <w:p>
      <w:pPr>
        <w:spacing w:line="220" w:lineRule="exact"/>
        <w:ind w:firstLine="420" w:firstLineChars="200"/>
        <w:jc w:val="left"/>
        <w:rPr>
          <w:rFonts w:ascii="宋体" w:hAnsi="宋体"/>
          <w:szCs w:val="21"/>
        </w:rPr>
      </w:pPr>
      <w:r>
        <w:rPr>
          <w:rFonts w:hint="eastAsia" w:ascii="宋体" w:hAnsi="宋体"/>
          <w:szCs w:val="21"/>
        </w:rPr>
        <w:t>（1）产品募集期内投资者可申请认购本产品，起点金额为1万元，认购资金当日冻结，于产品成立日确认份额并扣款，认购份额=认购金额÷单位净值，募集期产品单位净值为1元。</w:t>
      </w:r>
    </w:p>
    <w:p>
      <w:pPr>
        <w:spacing w:line="220" w:lineRule="exact"/>
        <w:ind w:firstLine="420" w:firstLineChars="200"/>
        <w:jc w:val="left"/>
        <w:rPr>
          <w:rFonts w:ascii="宋体" w:hAnsi="宋体"/>
          <w:szCs w:val="21"/>
        </w:rPr>
      </w:pPr>
      <w:r>
        <w:rPr>
          <w:rFonts w:hint="eastAsia" w:ascii="宋体" w:hAnsi="宋体"/>
          <w:szCs w:val="21"/>
        </w:rPr>
        <w:t>（2）募集期内投资者理财资金计活期利息，该利息不作为认购资金扣收。</w:t>
      </w:r>
    </w:p>
    <w:p>
      <w:pPr>
        <w:spacing w:line="220" w:lineRule="exact"/>
        <w:ind w:firstLine="420" w:firstLineChars="20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）投资者的认购申请可以在募集期交易时间结束前撤销，募集期交易时间</w:t>
      </w:r>
      <w:r>
        <w:rPr>
          <w:rFonts w:ascii="宋体" w:hAnsi="宋体"/>
          <w:szCs w:val="21"/>
        </w:rPr>
        <w:t>结束后</w:t>
      </w:r>
      <w:r>
        <w:rPr>
          <w:rFonts w:hint="eastAsia" w:ascii="宋体" w:hAnsi="宋体"/>
          <w:szCs w:val="21"/>
        </w:rPr>
        <w:t>不得撤销。</w:t>
      </w:r>
    </w:p>
    <w:p>
      <w:pPr>
        <w:spacing w:line="240" w:lineRule="exact"/>
        <w:ind w:firstLine="435"/>
        <w:rPr>
          <w:rFonts w:ascii="宋体" w:hAnsi="宋体"/>
          <w:b/>
          <w:bCs/>
          <w:szCs w:val="21"/>
        </w:rPr>
      </w:pPr>
      <w:r>
        <w:rPr>
          <w:rFonts w:hint="eastAsia"/>
          <w:b/>
          <w:szCs w:val="18"/>
        </w:rPr>
        <w:t>2、</w:t>
      </w:r>
      <w:r>
        <w:rPr>
          <w:rFonts w:hint="eastAsia" w:ascii="宋体" w:hAnsi="宋体"/>
          <w:b/>
          <w:bCs/>
          <w:szCs w:val="21"/>
        </w:rPr>
        <w:t>理财产品</w:t>
      </w:r>
      <w:r>
        <w:rPr>
          <w:rFonts w:ascii="宋体" w:hAnsi="宋体"/>
          <w:b/>
          <w:bCs/>
          <w:szCs w:val="21"/>
        </w:rPr>
        <w:t>的</w:t>
      </w:r>
      <w:r>
        <w:rPr>
          <w:rFonts w:hint="eastAsia" w:ascii="宋体" w:hAnsi="宋体"/>
          <w:b/>
          <w:bCs/>
          <w:szCs w:val="21"/>
        </w:rPr>
        <w:t>申购</w:t>
      </w:r>
    </w:p>
    <w:p>
      <w:pPr>
        <w:spacing w:line="240" w:lineRule="exact"/>
        <w:ind w:firstLine="435"/>
        <w:rPr>
          <w:rFonts w:ascii="宋体" w:hAnsi="宋体"/>
          <w:b/>
          <w:bCs/>
          <w:szCs w:val="21"/>
        </w:rPr>
      </w:pPr>
      <w:r>
        <w:rPr>
          <w:rFonts w:hint="eastAsia" w:ascii="宋体" w:hAnsi="宋体"/>
          <w:b/>
          <w:bCs/>
          <w:szCs w:val="21"/>
        </w:rPr>
        <w:t>（1）本理财</w:t>
      </w:r>
      <w:r>
        <w:rPr>
          <w:rFonts w:ascii="宋体" w:hAnsi="宋体"/>
          <w:b/>
          <w:bCs/>
          <w:szCs w:val="21"/>
        </w:rPr>
        <w:t>产品</w:t>
      </w:r>
      <w:r>
        <w:rPr>
          <w:rFonts w:hint="eastAsia" w:ascii="宋体" w:hAnsi="宋体"/>
          <w:b/>
          <w:bCs/>
          <w:szCs w:val="21"/>
        </w:rPr>
        <w:t>成立</w:t>
      </w:r>
      <w:r>
        <w:rPr>
          <w:rFonts w:ascii="宋体" w:hAnsi="宋体"/>
          <w:b/>
          <w:bCs/>
          <w:szCs w:val="21"/>
        </w:rPr>
        <w:t>以后设置</w:t>
      </w:r>
      <w:r>
        <w:rPr>
          <w:rFonts w:hint="eastAsia" w:ascii="宋体" w:hAnsi="宋体"/>
          <w:b/>
          <w:bCs/>
          <w:szCs w:val="21"/>
        </w:rPr>
        <w:t>若干</w:t>
      </w:r>
      <w:r>
        <w:rPr>
          <w:rFonts w:ascii="宋体" w:hAnsi="宋体"/>
          <w:b/>
          <w:bCs/>
          <w:szCs w:val="21"/>
        </w:rPr>
        <w:t>开放</w:t>
      </w:r>
      <w:r>
        <w:rPr>
          <w:rFonts w:hint="eastAsia" w:ascii="宋体" w:hAnsi="宋体"/>
          <w:b/>
          <w:bCs/>
          <w:szCs w:val="21"/>
        </w:rPr>
        <w:t>申购</w:t>
      </w:r>
      <w:r>
        <w:rPr>
          <w:rFonts w:ascii="宋体" w:hAnsi="宋体"/>
          <w:b/>
          <w:bCs/>
          <w:szCs w:val="21"/>
        </w:rPr>
        <w:t>期，</w:t>
      </w:r>
      <w:r>
        <w:rPr>
          <w:rFonts w:hint="eastAsia" w:ascii="宋体" w:hAnsi="宋体"/>
          <w:b/>
          <w:bCs/>
          <w:szCs w:val="21"/>
        </w:rPr>
        <w:t>满足</w:t>
      </w:r>
      <w:r>
        <w:rPr>
          <w:rFonts w:ascii="宋体" w:hAnsi="宋体"/>
          <w:b/>
          <w:bCs/>
          <w:szCs w:val="21"/>
        </w:rPr>
        <w:t>投资者申购需求。</w:t>
      </w:r>
      <w:r>
        <w:rPr>
          <w:rFonts w:hint="eastAsia" w:ascii="宋体" w:hAnsi="宋体"/>
          <w:b/>
          <w:bCs/>
          <w:szCs w:val="21"/>
        </w:rPr>
        <w:t>每一个</w:t>
      </w:r>
      <w:r>
        <w:rPr>
          <w:rFonts w:ascii="宋体" w:hAnsi="宋体"/>
          <w:b/>
          <w:bCs/>
          <w:szCs w:val="21"/>
        </w:rPr>
        <w:t>开放</w:t>
      </w:r>
      <w:r>
        <w:rPr>
          <w:rFonts w:hint="eastAsia" w:ascii="宋体" w:hAnsi="宋体"/>
          <w:b/>
          <w:bCs/>
          <w:szCs w:val="21"/>
        </w:rPr>
        <w:t>申购期</w:t>
      </w:r>
      <w:r>
        <w:rPr>
          <w:rFonts w:ascii="宋体" w:hAnsi="宋体"/>
          <w:b/>
          <w:bCs/>
          <w:szCs w:val="21"/>
        </w:rPr>
        <w:t>结束</w:t>
      </w:r>
      <w:r>
        <w:rPr>
          <w:rFonts w:hint="eastAsia" w:ascii="宋体" w:hAnsi="宋体"/>
          <w:b/>
          <w:bCs/>
          <w:szCs w:val="21"/>
        </w:rPr>
        <w:t>日</w:t>
      </w:r>
      <w:r>
        <w:rPr>
          <w:rFonts w:ascii="宋体" w:hAnsi="宋体"/>
          <w:b/>
          <w:bCs/>
          <w:szCs w:val="21"/>
        </w:rPr>
        <w:t>后</w:t>
      </w:r>
      <w:r>
        <w:rPr>
          <w:rFonts w:hint="eastAsia" w:ascii="宋体" w:hAnsi="宋体"/>
          <w:b/>
          <w:bCs/>
          <w:szCs w:val="21"/>
        </w:rPr>
        <w:t>下</w:t>
      </w:r>
      <w:r>
        <w:rPr>
          <w:rFonts w:ascii="宋体" w:hAnsi="宋体"/>
          <w:b/>
          <w:bCs/>
          <w:szCs w:val="21"/>
        </w:rPr>
        <w:t>一个工作日为申购</w:t>
      </w:r>
      <w:r>
        <w:rPr>
          <w:rFonts w:hint="eastAsia" w:ascii="宋体" w:hAnsi="宋体"/>
          <w:b/>
          <w:bCs/>
          <w:szCs w:val="21"/>
        </w:rPr>
        <w:t>份额</w:t>
      </w:r>
      <w:r>
        <w:rPr>
          <w:rFonts w:ascii="宋体" w:hAnsi="宋体"/>
          <w:b/>
          <w:bCs/>
          <w:szCs w:val="21"/>
        </w:rPr>
        <w:t>确认日，</w:t>
      </w:r>
      <w:r>
        <w:rPr>
          <w:rFonts w:hint="eastAsia" w:ascii="宋体" w:hAnsi="宋体"/>
          <w:b/>
          <w:bCs/>
          <w:szCs w:val="21"/>
        </w:rPr>
        <w:t>投资者</w:t>
      </w:r>
      <w:r>
        <w:rPr>
          <w:rFonts w:ascii="宋体" w:hAnsi="宋体"/>
          <w:b/>
          <w:bCs/>
          <w:szCs w:val="21"/>
        </w:rPr>
        <w:t>在不同的申购</w:t>
      </w:r>
      <w:r>
        <w:rPr>
          <w:rFonts w:hint="eastAsia" w:ascii="宋体" w:hAnsi="宋体"/>
          <w:b/>
          <w:bCs/>
          <w:szCs w:val="21"/>
        </w:rPr>
        <w:t>开放期申购</w:t>
      </w:r>
      <w:r>
        <w:rPr>
          <w:rFonts w:ascii="宋体" w:hAnsi="宋体"/>
          <w:b/>
          <w:bCs/>
          <w:szCs w:val="21"/>
        </w:rPr>
        <w:t>本产品，投资周期期限相同（不考虑</w:t>
      </w:r>
      <w:r>
        <w:rPr>
          <w:rFonts w:hint="eastAsia" w:ascii="宋体" w:hAnsi="宋体"/>
          <w:b/>
          <w:bCs/>
          <w:szCs w:val="21"/>
        </w:rPr>
        <w:t>非</w:t>
      </w:r>
      <w:r>
        <w:rPr>
          <w:rFonts w:ascii="宋体" w:hAnsi="宋体"/>
          <w:b/>
          <w:bCs/>
          <w:szCs w:val="21"/>
        </w:rPr>
        <w:t>工作日情况）</w:t>
      </w:r>
      <w:r>
        <w:rPr>
          <w:rFonts w:hint="eastAsia" w:ascii="宋体" w:hAnsi="宋体"/>
          <w:b/>
          <w:bCs/>
          <w:szCs w:val="21"/>
        </w:rPr>
        <w:t>，</w:t>
      </w:r>
      <w:r>
        <w:rPr>
          <w:rFonts w:ascii="宋体" w:hAnsi="宋体"/>
          <w:b/>
          <w:bCs/>
          <w:szCs w:val="21"/>
        </w:rPr>
        <w:t>申购</w:t>
      </w:r>
      <w:r>
        <w:rPr>
          <w:rFonts w:hint="eastAsia" w:ascii="宋体" w:hAnsi="宋体"/>
          <w:b/>
          <w:bCs/>
          <w:szCs w:val="21"/>
        </w:rPr>
        <w:t>份额</w:t>
      </w:r>
      <w:r>
        <w:rPr>
          <w:rFonts w:ascii="宋体" w:hAnsi="宋体"/>
          <w:b/>
          <w:bCs/>
          <w:szCs w:val="21"/>
        </w:rPr>
        <w:t>确认日不同，投资周期</w:t>
      </w:r>
      <w:r>
        <w:rPr>
          <w:rFonts w:hint="eastAsia" w:ascii="宋体" w:hAnsi="宋体"/>
          <w:b/>
          <w:bCs/>
          <w:szCs w:val="21"/>
        </w:rPr>
        <w:t>到期</w:t>
      </w:r>
      <w:r>
        <w:rPr>
          <w:rFonts w:ascii="宋体" w:hAnsi="宋体"/>
          <w:b/>
          <w:bCs/>
          <w:szCs w:val="21"/>
        </w:rPr>
        <w:t>后的</w:t>
      </w:r>
      <w:r>
        <w:rPr>
          <w:rFonts w:hint="eastAsia" w:ascii="宋体" w:hAnsi="宋体"/>
          <w:b/>
          <w:bCs/>
          <w:szCs w:val="21"/>
        </w:rPr>
        <w:t>（自动</w:t>
      </w:r>
      <w:r>
        <w:rPr>
          <w:rFonts w:ascii="宋体" w:hAnsi="宋体"/>
          <w:b/>
          <w:bCs/>
          <w:szCs w:val="21"/>
        </w:rPr>
        <w:t>）</w:t>
      </w:r>
      <w:r>
        <w:rPr>
          <w:rFonts w:hint="eastAsia" w:ascii="宋体" w:hAnsi="宋体"/>
          <w:b/>
          <w:bCs/>
          <w:szCs w:val="21"/>
        </w:rPr>
        <w:t>份额</w:t>
      </w:r>
      <w:r>
        <w:rPr>
          <w:rFonts w:ascii="宋体" w:hAnsi="宋体"/>
          <w:b/>
          <w:bCs/>
          <w:szCs w:val="21"/>
        </w:rPr>
        <w:t>赎回日不同</w:t>
      </w:r>
      <w:r>
        <w:rPr>
          <w:rFonts w:hint="eastAsia" w:ascii="宋体" w:hAnsi="宋体"/>
          <w:b/>
          <w:bCs/>
          <w:szCs w:val="21"/>
        </w:rPr>
        <w:t>。</w:t>
      </w:r>
    </w:p>
    <w:p>
      <w:pPr>
        <w:spacing w:line="240" w:lineRule="exact"/>
        <w:ind w:firstLine="435"/>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）本理财产品按照金额申购，采用</w:t>
      </w:r>
      <w:r>
        <w:rPr>
          <w:rFonts w:ascii="宋体" w:hAnsi="宋体"/>
          <w:szCs w:val="21"/>
        </w:rPr>
        <w:t>未知价原则，即</w:t>
      </w:r>
      <w:r>
        <w:rPr>
          <w:rFonts w:hint="eastAsia" w:ascii="宋体" w:hAnsi="宋体"/>
          <w:szCs w:val="21"/>
        </w:rPr>
        <w:t>投资</w:t>
      </w:r>
      <w:r>
        <w:rPr>
          <w:rFonts w:ascii="宋体" w:hAnsi="宋体"/>
          <w:szCs w:val="21"/>
        </w:rPr>
        <w:t>者</w:t>
      </w:r>
      <w:r>
        <w:rPr>
          <w:rFonts w:hint="eastAsia" w:ascii="宋体" w:hAnsi="宋体"/>
          <w:szCs w:val="21"/>
        </w:rPr>
        <w:t>申购确认份额以其单笔</w:t>
      </w:r>
      <w:r>
        <w:rPr>
          <w:rFonts w:ascii="宋体" w:hAnsi="宋体"/>
          <w:szCs w:val="21"/>
        </w:rPr>
        <w:t>交易</w:t>
      </w:r>
      <w:r>
        <w:rPr>
          <w:rFonts w:hint="eastAsia" w:ascii="宋体" w:hAnsi="宋体"/>
          <w:szCs w:val="21"/>
        </w:rPr>
        <w:t>所属开放申购期结束</w:t>
      </w:r>
      <w:r>
        <w:rPr>
          <w:rFonts w:ascii="宋体" w:hAnsi="宋体"/>
          <w:szCs w:val="21"/>
        </w:rPr>
        <w:t>日</w:t>
      </w:r>
      <w:r>
        <w:rPr>
          <w:rFonts w:hint="eastAsia" w:ascii="宋体" w:hAnsi="宋体"/>
          <w:szCs w:val="21"/>
        </w:rPr>
        <w:t>产品单位净值为基准进行计算，该</w:t>
      </w:r>
      <w:r>
        <w:rPr>
          <w:rFonts w:ascii="宋体" w:hAnsi="宋体"/>
          <w:szCs w:val="21"/>
        </w:rPr>
        <w:t>单位净值</w:t>
      </w:r>
      <w:r>
        <w:rPr>
          <w:rFonts w:hint="eastAsia" w:ascii="宋体" w:hAnsi="宋体"/>
          <w:szCs w:val="21"/>
        </w:rPr>
        <w:t>在开放</w:t>
      </w:r>
      <w:r>
        <w:rPr>
          <w:rFonts w:ascii="宋体" w:hAnsi="宋体"/>
          <w:szCs w:val="21"/>
        </w:rPr>
        <w:t>申购期结束后生成，在</w:t>
      </w:r>
      <w:r>
        <w:rPr>
          <w:rFonts w:hint="eastAsia" w:ascii="宋体" w:hAnsi="宋体"/>
          <w:szCs w:val="21"/>
        </w:rPr>
        <w:t>开放申购</w:t>
      </w:r>
      <w:r>
        <w:rPr>
          <w:rFonts w:ascii="宋体" w:hAnsi="宋体"/>
          <w:szCs w:val="21"/>
        </w:rPr>
        <w:t>期内</w:t>
      </w:r>
      <w:r>
        <w:rPr>
          <w:rFonts w:hint="eastAsia" w:ascii="宋体" w:hAnsi="宋体"/>
          <w:szCs w:val="21"/>
        </w:rPr>
        <w:t>不可知。</w:t>
      </w:r>
    </w:p>
    <w:p>
      <w:pPr>
        <w:spacing w:line="240" w:lineRule="exact"/>
        <w:ind w:firstLine="435"/>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）投资者的申购申请可以在所属开放申购期交易时间结束前撤销，开放申购期交易时间</w:t>
      </w:r>
      <w:r>
        <w:rPr>
          <w:rFonts w:ascii="宋体" w:hAnsi="宋体"/>
          <w:szCs w:val="21"/>
        </w:rPr>
        <w:t>结束后</w:t>
      </w:r>
      <w:r>
        <w:rPr>
          <w:rFonts w:hint="eastAsia" w:ascii="宋体" w:hAnsi="宋体"/>
          <w:szCs w:val="21"/>
        </w:rPr>
        <w:t>不可撤销。</w:t>
      </w:r>
    </w:p>
    <w:p>
      <w:pPr>
        <w:spacing w:line="240" w:lineRule="exact"/>
        <w:ind w:firstLine="435"/>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）投资者的申购</w:t>
      </w:r>
      <w:r>
        <w:rPr>
          <w:rFonts w:ascii="宋体" w:hAnsi="宋体"/>
          <w:szCs w:val="21"/>
        </w:rPr>
        <w:t>申请</w:t>
      </w:r>
      <w:r>
        <w:rPr>
          <w:rFonts w:hint="eastAsia" w:ascii="宋体" w:hAnsi="宋体"/>
          <w:szCs w:val="21"/>
        </w:rPr>
        <w:t>在所属</w:t>
      </w:r>
      <w:r>
        <w:rPr>
          <w:rFonts w:ascii="宋体" w:hAnsi="宋体"/>
          <w:szCs w:val="21"/>
        </w:rPr>
        <w:t>开放</w:t>
      </w:r>
      <w:r>
        <w:rPr>
          <w:rFonts w:hint="eastAsia" w:ascii="宋体" w:hAnsi="宋体"/>
          <w:szCs w:val="21"/>
        </w:rPr>
        <w:t>申购期结束</w:t>
      </w:r>
      <w:r>
        <w:rPr>
          <w:rFonts w:ascii="宋体" w:hAnsi="宋体"/>
          <w:szCs w:val="21"/>
        </w:rPr>
        <w:t>日</w:t>
      </w:r>
      <w:r>
        <w:rPr>
          <w:rFonts w:hint="eastAsia" w:ascii="宋体" w:hAnsi="宋体"/>
          <w:szCs w:val="21"/>
        </w:rPr>
        <w:t>的</w:t>
      </w:r>
      <w:r>
        <w:rPr>
          <w:rFonts w:ascii="宋体" w:hAnsi="宋体"/>
          <w:szCs w:val="21"/>
        </w:rPr>
        <w:t>下一</w:t>
      </w:r>
      <w:r>
        <w:rPr>
          <w:rFonts w:hint="eastAsia" w:ascii="宋体" w:hAnsi="宋体"/>
          <w:szCs w:val="21"/>
        </w:rPr>
        <w:t>工作</w:t>
      </w:r>
      <w:r>
        <w:rPr>
          <w:rFonts w:ascii="宋体" w:hAnsi="宋体"/>
          <w:szCs w:val="21"/>
        </w:rPr>
        <w:t>日（</w:t>
      </w:r>
      <w:r>
        <w:rPr>
          <w:rFonts w:hint="eastAsia" w:ascii="宋体" w:hAnsi="宋体"/>
          <w:szCs w:val="21"/>
        </w:rPr>
        <w:t>申购份额确认日、</w:t>
      </w:r>
      <w:r>
        <w:rPr>
          <w:rFonts w:ascii="宋体" w:hAnsi="宋体"/>
          <w:szCs w:val="21"/>
        </w:rPr>
        <w:t>收益起算日）确认</w:t>
      </w:r>
      <w:r>
        <w:rPr>
          <w:rFonts w:hint="eastAsia" w:ascii="宋体" w:hAnsi="宋体"/>
          <w:szCs w:val="21"/>
        </w:rPr>
        <w:t>份额并</w:t>
      </w:r>
      <w:r>
        <w:rPr>
          <w:rFonts w:ascii="宋体" w:hAnsi="宋体"/>
          <w:szCs w:val="21"/>
        </w:rPr>
        <w:t>扣款</w:t>
      </w:r>
      <w:r>
        <w:rPr>
          <w:rFonts w:hint="eastAsia" w:ascii="宋体" w:hAnsi="宋体"/>
          <w:szCs w:val="21"/>
        </w:rPr>
        <w:t>，申购</w:t>
      </w:r>
      <w:r>
        <w:rPr>
          <w:rFonts w:ascii="宋体" w:hAnsi="宋体"/>
          <w:szCs w:val="21"/>
        </w:rPr>
        <w:t>份额</w:t>
      </w:r>
      <w:r>
        <w:rPr>
          <w:rFonts w:hint="eastAsia" w:ascii="宋体" w:hAnsi="宋体"/>
          <w:szCs w:val="21"/>
        </w:rPr>
        <w:t>=申购</w:t>
      </w:r>
      <w:r>
        <w:rPr>
          <w:rFonts w:ascii="宋体" w:hAnsi="宋体"/>
          <w:szCs w:val="21"/>
        </w:rPr>
        <w:t>金额</w:t>
      </w:r>
      <w:r>
        <w:rPr>
          <w:rFonts w:hint="eastAsia" w:ascii="宋体" w:hAnsi="宋体"/>
          <w:szCs w:val="21"/>
        </w:rPr>
        <w:t>÷申购</w:t>
      </w:r>
      <w:r>
        <w:rPr>
          <w:rFonts w:ascii="宋体" w:hAnsi="宋体"/>
          <w:szCs w:val="21"/>
        </w:rPr>
        <w:t>结束日产品单位净值</w:t>
      </w:r>
      <w:r>
        <w:rPr>
          <w:rFonts w:hint="eastAsia" w:ascii="宋体" w:hAnsi="宋体"/>
          <w:szCs w:val="21"/>
        </w:rPr>
        <w:t>，</w:t>
      </w:r>
      <w:r>
        <w:rPr>
          <w:rFonts w:ascii="宋体" w:hAnsi="宋体"/>
          <w:szCs w:val="21"/>
        </w:rPr>
        <w:t>申购份额保留到小数点后两位，小数点后第三位四舍五入，由此</w:t>
      </w:r>
      <w:r>
        <w:rPr>
          <w:rFonts w:hint="eastAsia" w:ascii="宋体" w:hAnsi="宋体"/>
          <w:szCs w:val="21"/>
        </w:rPr>
        <w:t>产生</w:t>
      </w:r>
      <w:r>
        <w:rPr>
          <w:rFonts w:ascii="宋体" w:hAnsi="宋体"/>
          <w:szCs w:val="21"/>
        </w:rPr>
        <w:t>的损益由理财</w:t>
      </w:r>
      <w:r>
        <w:rPr>
          <w:rFonts w:hint="eastAsia" w:ascii="宋体" w:hAnsi="宋体"/>
          <w:szCs w:val="21"/>
        </w:rPr>
        <w:t>产品</w:t>
      </w:r>
      <w:r>
        <w:rPr>
          <w:rFonts w:ascii="宋体" w:hAnsi="宋体"/>
          <w:szCs w:val="21"/>
        </w:rPr>
        <w:t>承担。</w:t>
      </w:r>
    </w:p>
    <w:p>
      <w:pPr>
        <w:spacing w:line="240" w:lineRule="exact"/>
        <w:ind w:firstLine="435"/>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）对未</w:t>
      </w:r>
      <w:r>
        <w:rPr>
          <w:rFonts w:ascii="宋体" w:hAnsi="宋体"/>
          <w:szCs w:val="21"/>
        </w:rPr>
        <w:t>持有本理财产品的投资者</w:t>
      </w:r>
      <w:r>
        <w:rPr>
          <w:rFonts w:hint="eastAsia" w:ascii="宋体" w:hAnsi="宋体"/>
          <w:szCs w:val="21"/>
        </w:rPr>
        <w:t>和对</w:t>
      </w:r>
      <w:r>
        <w:rPr>
          <w:rFonts w:ascii="宋体" w:hAnsi="宋体"/>
          <w:szCs w:val="21"/>
        </w:rPr>
        <w:t>已持有本理财产品的投资者，申购起点金额</w:t>
      </w:r>
      <w:r>
        <w:rPr>
          <w:rFonts w:hint="eastAsia" w:ascii="宋体" w:hAnsi="宋体"/>
          <w:szCs w:val="21"/>
        </w:rPr>
        <w:t>均</w:t>
      </w:r>
      <w:r>
        <w:rPr>
          <w:rFonts w:ascii="宋体" w:hAnsi="宋体"/>
          <w:szCs w:val="21"/>
        </w:rPr>
        <w:t>为</w:t>
      </w:r>
      <w:r>
        <w:rPr>
          <w:rFonts w:hint="eastAsia" w:ascii="宋体" w:hAnsi="宋体"/>
          <w:szCs w:val="21"/>
        </w:rPr>
        <w:t>1万元。</w:t>
      </w:r>
    </w:p>
    <w:p>
      <w:pPr>
        <w:spacing w:line="240" w:lineRule="exact"/>
        <w:ind w:firstLine="435"/>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）申购期内投资者理财资金计活期利息，该利息不作为申购资金扣收。</w:t>
      </w:r>
    </w:p>
    <w:p>
      <w:pPr>
        <w:spacing w:line="240" w:lineRule="exact"/>
        <w:ind w:firstLine="435"/>
        <w:rPr>
          <w:rFonts w:ascii="宋体" w:hAnsi="宋体"/>
          <w:b/>
          <w:bCs/>
          <w:szCs w:val="21"/>
        </w:rPr>
      </w:pPr>
      <w:r>
        <w:rPr>
          <w:rFonts w:hint="eastAsia" w:ascii="宋体" w:hAnsi="宋体"/>
          <w:b/>
          <w:bCs/>
          <w:szCs w:val="21"/>
        </w:rPr>
        <w:t>3、理财</w:t>
      </w:r>
      <w:r>
        <w:rPr>
          <w:rFonts w:ascii="宋体" w:hAnsi="宋体"/>
          <w:b/>
          <w:bCs/>
          <w:szCs w:val="21"/>
        </w:rPr>
        <w:t>产品的赎回</w:t>
      </w:r>
    </w:p>
    <w:p>
      <w:pPr>
        <w:spacing w:line="240" w:lineRule="exact"/>
        <w:ind w:firstLine="435"/>
        <w:rPr>
          <w:rFonts w:ascii="宋体" w:hAnsi="宋体"/>
          <w:szCs w:val="21"/>
        </w:rPr>
      </w:pPr>
      <w:r>
        <w:rPr>
          <w:rFonts w:hint="eastAsia" w:ascii="宋体" w:hAnsi="宋体"/>
          <w:b/>
          <w:bCs/>
          <w:szCs w:val="21"/>
        </w:rPr>
        <w:t>（1）</w:t>
      </w:r>
      <w:r>
        <w:rPr>
          <w:rFonts w:hint="eastAsia" w:ascii="宋体" w:hAnsi="宋体"/>
          <w:b/>
          <w:szCs w:val="21"/>
        </w:rPr>
        <w:t>投资者购买</w:t>
      </w:r>
      <w:r>
        <w:rPr>
          <w:rFonts w:ascii="宋体" w:hAnsi="宋体"/>
          <w:b/>
          <w:szCs w:val="21"/>
        </w:rPr>
        <w:t>的单笔本理财产品在投资周期内不能赎回，</w:t>
      </w:r>
      <w:r>
        <w:rPr>
          <w:rFonts w:hint="eastAsia" w:ascii="宋体" w:hAnsi="宋体"/>
          <w:b/>
          <w:szCs w:val="21"/>
        </w:rPr>
        <w:t>投资周期</w:t>
      </w:r>
      <w:r>
        <w:rPr>
          <w:rFonts w:ascii="宋体" w:hAnsi="宋体"/>
          <w:b/>
          <w:szCs w:val="21"/>
        </w:rPr>
        <w:t>到期后由系统</w:t>
      </w:r>
      <w:r>
        <w:rPr>
          <w:rFonts w:hint="eastAsia" w:ascii="宋体" w:hAnsi="宋体"/>
          <w:b/>
          <w:szCs w:val="21"/>
        </w:rPr>
        <w:t>自动</w:t>
      </w:r>
      <w:r>
        <w:rPr>
          <w:rFonts w:ascii="宋体" w:hAnsi="宋体"/>
          <w:b/>
          <w:szCs w:val="21"/>
        </w:rPr>
        <w:t>发起</w:t>
      </w:r>
      <w:r>
        <w:rPr>
          <w:rFonts w:hint="eastAsia" w:ascii="宋体" w:hAnsi="宋体"/>
          <w:b/>
          <w:szCs w:val="21"/>
        </w:rPr>
        <w:t>赎回</w:t>
      </w:r>
      <w:r>
        <w:rPr>
          <w:rFonts w:ascii="宋体" w:hAnsi="宋体"/>
          <w:b/>
          <w:szCs w:val="21"/>
        </w:rPr>
        <w:t>，客户无需主动提交赎回申请。</w:t>
      </w:r>
    </w:p>
    <w:p>
      <w:pPr>
        <w:spacing w:line="240" w:lineRule="exact"/>
        <w:ind w:firstLine="435"/>
        <w:rPr>
          <w:rFonts w:ascii="宋体" w:hAnsi="宋体"/>
          <w:szCs w:val="21"/>
        </w:rPr>
      </w:pPr>
      <w:r>
        <w:rPr>
          <w:rFonts w:hint="eastAsia" w:ascii="宋体" w:hAnsi="宋体"/>
          <w:szCs w:val="21"/>
        </w:rPr>
        <w:t>（2）投资者认购、</w:t>
      </w:r>
      <w:r>
        <w:rPr>
          <w:rFonts w:ascii="宋体" w:hAnsi="宋体"/>
          <w:szCs w:val="21"/>
        </w:rPr>
        <w:t>申购</w:t>
      </w:r>
      <w:r>
        <w:rPr>
          <w:rFonts w:hint="eastAsia" w:ascii="宋体" w:hAnsi="宋体"/>
          <w:szCs w:val="21"/>
        </w:rPr>
        <w:t>确认份额在所属</w:t>
      </w:r>
      <w:r>
        <w:rPr>
          <w:rFonts w:ascii="宋体" w:hAnsi="宋体"/>
          <w:szCs w:val="21"/>
        </w:rPr>
        <w:t>投资周期到期</w:t>
      </w:r>
      <w:r>
        <w:rPr>
          <w:rFonts w:hint="eastAsia" w:ascii="宋体" w:hAnsi="宋体"/>
          <w:szCs w:val="21"/>
        </w:rPr>
        <w:t>日全部自动赎回，</w:t>
      </w:r>
      <w:r>
        <w:rPr>
          <w:rFonts w:hint="eastAsia" w:ascii="宋体" w:hAnsi="宋体"/>
          <w:b/>
          <w:szCs w:val="21"/>
        </w:rPr>
        <w:t>赎回由系统自动发起，客户无需主动提交赎回申请，客户购买本理财产品即表示接受本理财产品自动赎回方式的安排</w:t>
      </w:r>
      <w:r>
        <w:rPr>
          <w:rFonts w:hint="eastAsia" w:ascii="宋体" w:hAnsi="宋体"/>
          <w:szCs w:val="21"/>
        </w:rPr>
        <w:t>。份额赎回日为投资周期到期当日，即投资者购买的单笔理财产品的申购份额确认日（收益起算日）下一日开始的第91</w:t>
      </w:r>
      <w:r>
        <w:rPr>
          <w:rFonts w:ascii="宋体" w:hAnsi="宋体"/>
          <w:szCs w:val="21"/>
        </w:rPr>
        <w:t>天</w:t>
      </w:r>
      <w:r>
        <w:rPr>
          <w:rFonts w:hint="eastAsia" w:ascii="宋体" w:hAnsi="宋体"/>
          <w:szCs w:val="21"/>
        </w:rPr>
        <w:t>（遇非工作日顺延）。赎回资金于赎回日后三个工作日内兑付，赎回金额</w:t>
      </w:r>
      <w:r>
        <w:rPr>
          <w:rFonts w:ascii="宋体" w:hAnsi="宋体"/>
          <w:szCs w:val="21"/>
        </w:rPr>
        <w:t>=赎回份额×赎回日前一日产品单位净值。</w:t>
      </w:r>
    </w:p>
    <w:p>
      <w:pPr>
        <w:autoSpaceDE w:val="0"/>
        <w:autoSpaceDN w:val="0"/>
        <w:adjustRightInd w:val="0"/>
        <w:spacing w:before="120" w:line="220" w:lineRule="exact"/>
        <w:jc w:val="left"/>
        <w:rPr>
          <w:rFonts w:ascii="黑体" w:eastAsia="黑体" w:cs="黑体"/>
          <w:b/>
          <w:kern w:val="0"/>
          <w:szCs w:val="21"/>
        </w:rPr>
      </w:pPr>
      <w:r>
        <w:rPr>
          <w:rFonts w:hint="eastAsia" w:ascii="黑体" w:eastAsia="黑体" w:cs="黑体"/>
          <w:b/>
          <w:kern w:val="0"/>
          <w:szCs w:val="21"/>
        </w:rPr>
        <w:t>四、理财产品费用</w:t>
      </w:r>
      <w:r>
        <w:rPr>
          <w:rFonts w:ascii="黑体" w:eastAsia="黑体" w:cs="黑体"/>
          <w:b/>
          <w:kern w:val="0"/>
          <w:szCs w:val="21"/>
        </w:rPr>
        <w:t>、</w:t>
      </w:r>
      <w:r>
        <w:rPr>
          <w:rFonts w:hint="eastAsia" w:ascii="黑体" w:eastAsia="黑体" w:cs="黑体"/>
          <w:b/>
          <w:kern w:val="0"/>
          <w:szCs w:val="21"/>
        </w:rPr>
        <w:t>收益分析与</w:t>
      </w:r>
      <w:r>
        <w:rPr>
          <w:rFonts w:ascii="黑体" w:eastAsia="黑体" w:cs="黑体"/>
          <w:b/>
          <w:kern w:val="0"/>
          <w:szCs w:val="21"/>
        </w:rPr>
        <w:t>计算</w:t>
      </w:r>
    </w:p>
    <w:p>
      <w:pPr>
        <w:autoSpaceDE w:val="0"/>
        <w:autoSpaceDN w:val="0"/>
        <w:adjustRightInd w:val="0"/>
        <w:spacing w:before="120" w:line="220" w:lineRule="exact"/>
        <w:ind w:firstLine="422" w:firstLineChars="200"/>
        <w:jc w:val="left"/>
        <w:rPr>
          <w:rFonts w:ascii="宋体" w:hAnsi="宋体"/>
          <w:b/>
          <w:bCs/>
          <w:szCs w:val="21"/>
        </w:rPr>
      </w:pPr>
      <w:r>
        <w:rPr>
          <w:rFonts w:hint="eastAsia" w:ascii="宋体" w:hAnsi="宋体"/>
          <w:b/>
          <w:bCs/>
          <w:szCs w:val="21"/>
        </w:rPr>
        <w:t>1、由理财</w:t>
      </w:r>
      <w:r>
        <w:rPr>
          <w:rFonts w:ascii="宋体" w:hAnsi="宋体"/>
          <w:b/>
          <w:bCs/>
          <w:szCs w:val="21"/>
        </w:rPr>
        <w:t>产品</w:t>
      </w:r>
      <w:r>
        <w:rPr>
          <w:rFonts w:hint="eastAsia" w:ascii="宋体" w:hAnsi="宋体"/>
          <w:b/>
          <w:bCs/>
          <w:szCs w:val="21"/>
        </w:rPr>
        <w:t>承担</w:t>
      </w:r>
      <w:r>
        <w:rPr>
          <w:rFonts w:ascii="宋体" w:hAnsi="宋体"/>
          <w:b/>
          <w:bCs/>
          <w:szCs w:val="21"/>
        </w:rPr>
        <w:t>的费用</w:t>
      </w:r>
    </w:p>
    <w:p>
      <w:pPr>
        <w:spacing w:line="240" w:lineRule="exact"/>
        <w:ind w:firstLine="435"/>
        <w:rPr>
          <w:rFonts w:ascii="宋体" w:hAnsi="宋体"/>
          <w:szCs w:val="21"/>
        </w:rPr>
      </w:pPr>
      <w:r>
        <w:rPr>
          <w:rFonts w:hint="eastAsia" w:ascii="宋体" w:hAnsi="宋体"/>
          <w:szCs w:val="21"/>
        </w:rPr>
        <w:t>（1）</w:t>
      </w:r>
      <w:r>
        <w:rPr>
          <w:rFonts w:hint="eastAsia" w:ascii="宋体" w:hAnsi="宋体"/>
          <w:bCs/>
          <w:szCs w:val="21"/>
        </w:rPr>
        <w:t>固定管理费：0.</w:t>
      </w:r>
      <w:r>
        <w:rPr>
          <w:rFonts w:hint="eastAsia" w:ascii="宋体" w:hAnsi="宋体"/>
          <w:bCs/>
          <w:szCs w:val="21"/>
          <w:lang w:val="en-US" w:eastAsia="zh-CN"/>
        </w:rPr>
        <w:t>3</w:t>
      </w:r>
      <w:r>
        <w:rPr>
          <w:rFonts w:hint="eastAsia" w:ascii="宋体" w:hAnsi="宋体"/>
          <w:bCs/>
          <w:szCs w:val="21"/>
        </w:rPr>
        <w:t>0%/年，按当日实收资本的0.</w:t>
      </w:r>
      <w:r>
        <w:rPr>
          <w:rFonts w:hint="eastAsia" w:ascii="宋体" w:hAnsi="宋体"/>
          <w:bCs/>
          <w:szCs w:val="21"/>
          <w:lang w:val="en-US" w:eastAsia="zh-CN"/>
        </w:rPr>
        <w:t>3</w:t>
      </w:r>
      <w:r>
        <w:rPr>
          <w:rFonts w:hint="eastAsia" w:ascii="宋体" w:hAnsi="宋体"/>
          <w:bCs/>
          <w:szCs w:val="21"/>
        </w:rPr>
        <w:t>0%/年费率每日计提，管理人有权减免固定管理费。</w:t>
      </w:r>
      <w:r>
        <w:rPr>
          <w:rFonts w:hint="eastAsia" w:ascii="宋体" w:hAnsi="宋体"/>
          <w:szCs w:val="21"/>
        </w:rPr>
        <w:br w:type="textWrapping"/>
      </w:r>
      <w:r>
        <w:rPr>
          <w:rFonts w:hint="eastAsia" w:ascii="宋体" w:hAnsi="宋体"/>
          <w:szCs w:val="21"/>
        </w:rPr>
        <w:t xml:space="preserve">    （2）</w:t>
      </w:r>
      <w:r>
        <w:rPr>
          <w:rFonts w:hint="eastAsia" w:ascii="宋体" w:hAnsi="宋体"/>
          <w:bCs/>
          <w:szCs w:val="21"/>
        </w:rPr>
        <w:t>销售手续费：</w:t>
      </w:r>
      <w:r>
        <w:rPr>
          <w:rFonts w:hint="eastAsia" w:ascii="宋体" w:hAnsi="宋体"/>
          <w:szCs w:val="21"/>
        </w:rPr>
        <w:t>0.10</w:t>
      </w:r>
      <w:r>
        <w:rPr>
          <w:rFonts w:ascii="宋体" w:hAnsi="宋体"/>
          <w:szCs w:val="21"/>
        </w:rPr>
        <w:t>%/</w:t>
      </w:r>
      <w:r>
        <w:rPr>
          <w:rFonts w:hint="eastAsia" w:ascii="宋体" w:hAnsi="宋体"/>
          <w:szCs w:val="21"/>
        </w:rPr>
        <w:t>年，</w:t>
      </w:r>
      <w:r>
        <w:rPr>
          <w:rFonts w:hint="eastAsia" w:ascii="宋体" w:hAnsi="宋体"/>
          <w:bCs/>
          <w:szCs w:val="21"/>
        </w:rPr>
        <w:t>按当日实收资本的0.</w:t>
      </w:r>
      <w:r>
        <w:rPr>
          <w:rFonts w:ascii="宋体" w:hAnsi="宋体"/>
          <w:bCs/>
          <w:szCs w:val="21"/>
        </w:rPr>
        <w:t>1</w:t>
      </w:r>
      <w:r>
        <w:rPr>
          <w:rFonts w:hint="eastAsia" w:ascii="宋体" w:hAnsi="宋体"/>
          <w:bCs/>
          <w:szCs w:val="21"/>
        </w:rPr>
        <w:t>0%/年费率每日计提，管理人有权减免销售手续费。</w:t>
      </w:r>
    </w:p>
    <w:p>
      <w:pPr>
        <w:spacing w:line="240" w:lineRule="exact"/>
        <w:ind w:firstLine="435"/>
        <w:rPr>
          <w:rFonts w:ascii="宋体" w:hAnsi="宋体"/>
          <w:szCs w:val="21"/>
        </w:rPr>
      </w:pPr>
      <w:r>
        <w:rPr>
          <w:rFonts w:hint="eastAsia" w:ascii="宋体" w:hAnsi="宋体"/>
          <w:szCs w:val="21"/>
        </w:rPr>
        <w:t>（3）</w:t>
      </w:r>
      <w:r>
        <w:rPr>
          <w:rFonts w:hint="eastAsia" w:ascii="宋体" w:hAnsi="宋体"/>
          <w:bCs/>
          <w:szCs w:val="21"/>
        </w:rPr>
        <w:t>托管费：0.0</w:t>
      </w:r>
      <w:r>
        <w:rPr>
          <w:rFonts w:ascii="宋体" w:hAnsi="宋体"/>
          <w:bCs/>
          <w:szCs w:val="21"/>
        </w:rPr>
        <w:t>1</w:t>
      </w:r>
      <w:r>
        <w:rPr>
          <w:rFonts w:hint="eastAsia" w:ascii="宋体" w:hAnsi="宋体"/>
          <w:bCs/>
          <w:szCs w:val="21"/>
        </w:rPr>
        <w:t>%/年，按当日实收资本的0.0</w:t>
      </w:r>
      <w:r>
        <w:rPr>
          <w:rFonts w:ascii="宋体" w:hAnsi="宋体"/>
          <w:bCs/>
          <w:szCs w:val="21"/>
        </w:rPr>
        <w:t>1</w:t>
      </w:r>
      <w:r>
        <w:rPr>
          <w:rFonts w:hint="eastAsia" w:ascii="宋体" w:hAnsi="宋体"/>
          <w:bCs/>
          <w:szCs w:val="21"/>
        </w:rPr>
        <w:t xml:space="preserve">%/年费率每日计提。 </w:t>
      </w:r>
    </w:p>
    <w:p>
      <w:pPr>
        <w:spacing w:line="240" w:lineRule="exact"/>
        <w:ind w:firstLine="435"/>
        <w:rPr>
          <w:rFonts w:ascii="宋体" w:hAnsi="宋体"/>
          <w:szCs w:val="21"/>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w:t>
      </w:r>
    </w:p>
    <w:p>
      <w:pPr>
        <w:spacing w:line="240" w:lineRule="exact"/>
        <w:ind w:firstLine="435"/>
        <w:rPr>
          <w:rFonts w:ascii="宋体" w:hAnsi="宋体"/>
          <w:szCs w:val="21"/>
        </w:rPr>
      </w:pPr>
      <w:r>
        <w:rPr>
          <w:rFonts w:ascii="宋体" w:hAnsi="宋体"/>
          <w:szCs w:val="21"/>
        </w:rPr>
        <w:t>（</w:t>
      </w:r>
      <w:r>
        <w:rPr>
          <w:rFonts w:hint="eastAsia" w:ascii="宋体" w:hAnsi="宋体"/>
          <w:szCs w:val="21"/>
          <w:lang w:val="en-US" w:eastAsia="zh-CN"/>
        </w:rPr>
        <w:t>5</w:t>
      </w:r>
      <w:r>
        <w:rPr>
          <w:rFonts w:ascii="宋体" w:hAnsi="宋体"/>
          <w:szCs w:val="21"/>
        </w:rPr>
        <w:t>）</w:t>
      </w:r>
      <w:r>
        <w:rPr>
          <w:rFonts w:hint="eastAsia" w:ascii="宋体" w:hAnsi="宋体"/>
        </w:rPr>
        <w:t>根据现行增值税法规，本产品运作过程中发生的增值税应税行为，由产品管理人负责申报及缴纳，相应增值税及附加税费由本产品承担。投资者从理财产品取得的收益应缴纳的税款，由投资者自行申报及缴纳。</w:t>
      </w:r>
    </w:p>
    <w:p>
      <w:pPr>
        <w:spacing w:line="276" w:lineRule="auto"/>
        <w:ind w:firstLine="437"/>
        <w:rPr>
          <w:rFonts w:ascii="宋体" w:hAnsi="宋体"/>
          <w:b/>
          <w:sz w:val="22"/>
        </w:rPr>
      </w:pPr>
      <w:r>
        <w:rPr>
          <w:rFonts w:ascii="宋体" w:hAnsi="宋体"/>
          <w:b/>
          <w:sz w:val="22"/>
        </w:rPr>
        <w:t>费用调整：产品管理人有权根据相关法律和国家政策的规定、市场情况等，对已约定的收费项目、条件、标准和方式进行调整，并在调整前按照有关规定和本产品说明书约定进行信息披露。</w:t>
      </w:r>
    </w:p>
    <w:p>
      <w:pPr>
        <w:spacing w:line="276" w:lineRule="auto"/>
        <w:ind w:firstLine="437"/>
        <w:rPr>
          <w:rFonts w:ascii="宋体" w:hAnsi="宋体"/>
          <w:b/>
          <w:sz w:val="24"/>
        </w:rPr>
      </w:pPr>
      <w:r>
        <w:rPr>
          <w:rFonts w:hint="eastAsia" w:ascii="宋体" w:hAnsi="宋体"/>
          <w:b/>
          <w:sz w:val="24"/>
        </w:rPr>
        <w:t>2</w:t>
      </w:r>
      <w:r>
        <w:rPr>
          <w:rFonts w:ascii="宋体" w:hAnsi="宋体"/>
          <w:b/>
          <w:sz w:val="24"/>
        </w:rPr>
        <w:t>、业绩报酬</w:t>
      </w:r>
    </w:p>
    <w:p>
      <w:pPr>
        <w:spacing w:line="276" w:lineRule="auto"/>
        <w:ind w:firstLine="437"/>
        <w:rPr>
          <w:rFonts w:ascii="宋体" w:hAnsi="宋体"/>
          <w:sz w:val="22"/>
        </w:rPr>
      </w:pPr>
      <w:r>
        <w:rPr>
          <w:rFonts w:hint="eastAsia" w:ascii="宋体" w:hAnsi="宋体"/>
          <w:sz w:val="22"/>
        </w:rPr>
        <w:t>业绩报酬由管理人收取，根据业绩报酬计提前的产品单位净值、业绩报酬计提基准和业绩报酬计提比例每日计提。本产品单位</w:t>
      </w:r>
      <w:r>
        <w:rPr>
          <w:rFonts w:ascii="宋体" w:hAnsi="宋体"/>
          <w:sz w:val="22"/>
        </w:rPr>
        <w:t>净值为</w:t>
      </w:r>
      <w:r>
        <w:rPr>
          <w:rFonts w:hint="eastAsia" w:ascii="宋体" w:hAnsi="宋体"/>
          <w:sz w:val="22"/>
        </w:rPr>
        <w:t>扣除业绩报酬</w:t>
      </w:r>
      <w:r>
        <w:rPr>
          <w:rFonts w:ascii="宋体" w:hAnsi="宋体"/>
          <w:sz w:val="22"/>
        </w:rPr>
        <w:t>后的单位净值。</w:t>
      </w:r>
      <w:r>
        <w:rPr>
          <w:rFonts w:hint="eastAsia" w:ascii="宋体" w:hAnsi="宋体"/>
          <w:sz w:val="22"/>
        </w:rPr>
        <w:t>业绩报酬计提方法如下：</w:t>
      </w:r>
    </w:p>
    <w:p>
      <w:pPr>
        <w:spacing w:line="276" w:lineRule="auto"/>
        <w:ind w:firstLine="437"/>
        <w:rPr>
          <w:rFonts w:ascii="宋体" w:hAnsi="宋体"/>
          <w:sz w:val="22"/>
        </w:rPr>
      </w:pPr>
      <w:r>
        <w:rPr>
          <w:rFonts w:ascii="宋体" w:hAnsi="宋体"/>
          <w:sz w:val="22"/>
        </w:rPr>
        <w:t>D</w:t>
      </w:r>
      <w:r>
        <w:rPr>
          <w:rFonts w:hint="eastAsia" w:ascii="宋体" w:hAnsi="宋体"/>
          <w:sz w:val="22"/>
        </w:rPr>
        <w:t>为自然日，D</w:t>
      </w:r>
      <w:r>
        <w:rPr>
          <w:rFonts w:ascii="宋体" w:hAnsi="宋体"/>
          <w:sz w:val="22"/>
        </w:rPr>
        <w:t>-</w:t>
      </w:r>
      <w:r>
        <w:rPr>
          <w:rFonts w:hint="eastAsia" w:ascii="宋体" w:hAnsi="宋体"/>
          <w:sz w:val="22"/>
        </w:rPr>
        <w:t>91为D日前</w:t>
      </w:r>
      <w:r>
        <w:rPr>
          <w:rFonts w:ascii="宋体" w:hAnsi="宋体"/>
          <w:sz w:val="22"/>
        </w:rPr>
        <w:t>溯</w:t>
      </w:r>
      <w:r>
        <w:rPr>
          <w:rFonts w:hint="eastAsia" w:ascii="宋体" w:hAnsi="宋体"/>
          <w:sz w:val="22"/>
        </w:rPr>
        <w:t>91天的自然日；T为</w:t>
      </w:r>
      <w:r>
        <w:rPr>
          <w:rFonts w:ascii="宋体" w:hAnsi="宋体"/>
          <w:sz w:val="22"/>
        </w:rPr>
        <w:t>产品运作天数</w:t>
      </w:r>
      <w:r>
        <w:rPr>
          <w:rFonts w:hint="eastAsia" w:ascii="宋体" w:hAnsi="宋体"/>
          <w:sz w:val="22"/>
        </w:rPr>
        <w:t>；</w:t>
      </w:r>
    </w:p>
    <w:p>
      <w:pPr>
        <w:spacing w:line="276" w:lineRule="auto"/>
        <w:ind w:firstLine="437"/>
        <w:rPr>
          <w:rFonts w:ascii="宋体" w:hAnsi="宋体"/>
          <w:sz w:val="22"/>
        </w:rPr>
      </w:pPr>
      <w:r>
        <w:rPr>
          <w:rFonts w:hint="eastAsia" w:ascii="宋体" w:hAnsi="宋体"/>
          <w:sz w:val="22"/>
        </w:rPr>
        <w:t>NAV为产品单位净值，NAV</w:t>
      </w:r>
      <w:r>
        <w:rPr>
          <w:rFonts w:ascii="宋体" w:hAnsi="宋体"/>
          <w:sz w:val="28"/>
          <w:szCs w:val="32"/>
          <w:vertAlign w:val="subscript"/>
        </w:rPr>
        <w:t>D</w:t>
      </w:r>
      <w:r>
        <w:rPr>
          <w:rFonts w:hint="eastAsia" w:ascii="宋体" w:hAnsi="宋体"/>
          <w:sz w:val="28"/>
          <w:szCs w:val="32"/>
          <w:vertAlign w:val="subscript"/>
        </w:rPr>
        <w:t>-91</w:t>
      </w:r>
      <w:r>
        <w:rPr>
          <w:rFonts w:hint="eastAsia" w:ascii="宋体" w:hAnsi="宋体"/>
          <w:sz w:val="22"/>
        </w:rPr>
        <w:t>代表D日前溯91天的自然日</w:t>
      </w:r>
      <w:r>
        <w:rPr>
          <w:rFonts w:ascii="宋体" w:hAnsi="宋体"/>
          <w:sz w:val="22"/>
        </w:rPr>
        <w:t>的</w:t>
      </w:r>
      <w:r>
        <w:rPr>
          <w:rFonts w:hint="eastAsia" w:ascii="宋体" w:hAnsi="宋体"/>
          <w:sz w:val="22"/>
        </w:rPr>
        <w:t>产品单位净值；</w:t>
      </w:r>
    </w:p>
    <w:p>
      <w:pPr>
        <w:spacing w:line="276" w:lineRule="auto"/>
        <w:ind w:firstLine="437"/>
        <w:rPr>
          <w:rFonts w:ascii="宋体" w:hAnsi="宋体"/>
          <w:sz w:val="22"/>
        </w:rPr>
      </w:pPr>
      <w:r>
        <w:rPr>
          <w:rFonts w:hint="eastAsia" w:ascii="宋体" w:hAnsi="宋体"/>
          <w:sz w:val="22"/>
        </w:rPr>
        <w:t>R2、R1分别</w:t>
      </w:r>
      <w:r>
        <w:rPr>
          <w:rFonts w:ascii="宋体" w:hAnsi="宋体"/>
          <w:sz w:val="22"/>
        </w:rPr>
        <w:t>为业绩报酬计提的上阈值、下阈值，本产品当前</w:t>
      </w:r>
      <w:r>
        <w:rPr>
          <w:rFonts w:hint="eastAsia" w:ascii="宋体" w:hAnsi="宋体"/>
          <w:sz w:val="22"/>
        </w:rPr>
        <w:t>R1设置</w:t>
      </w:r>
      <w:r>
        <w:rPr>
          <w:rFonts w:ascii="宋体" w:hAnsi="宋体"/>
          <w:sz w:val="22"/>
        </w:rPr>
        <w:t>为1</w:t>
      </w:r>
      <w:r>
        <w:rPr>
          <w:rFonts w:hint="eastAsia" w:ascii="宋体" w:hAnsi="宋体"/>
          <w:sz w:val="22"/>
        </w:rPr>
        <w:t>.</w:t>
      </w:r>
      <w:r>
        <w:rPr>
          <w:rFonts w:hint="eastAsia" w:ascii="宋体" w:hAnsi="宋体"/>
          <w:sz w:val="22"/>
          <w:lang w:val="en-US" w:eastAsia="zh-CN"/>
        </w:rPr>
        <w:t>35</w:t>
      </w:r>
      <w:r>
        <w:rPr>
          <w:rFonts w:ascii="宋体" w:hAnsi="宋体"/>
          <w:sz w:val="22"/>
        </w:rPr>
        <w:t>%，</w:t>
      </w:r>
      <w:r>
        <w:rPr>
          <w:rFonts w:hint="eastAsia" w:ascii="宋体" w:hAnsi="宋体"/>
          <w:sz w:val="22"/>
        </w:rPr>
        <w:t>R2设置为</w:t>
      </w:r>
      <w:r>
        <w:rPr>
          <w:rFonts w:ascii="宋体" w:hAnsi="宋体"/>
          <w:sz w:val="22"/>
        </w:rPr>
        <w:t>3.</w:t>
      </w:r>
      <w:r>
        <w:rPr>
          <w:rFonts w:hint="eastAsia" w:ascii="宋体" w:hAnsi="宋体"/>
          <w:sz w:val="22"/>
          <w:lang w:val="en-US" w:eastAsia="zh-CN"/>
        </w:rPr>
        <w:t>0</w:t>
      </w:r>
      <w:r>
        <w:rPr>
          <w:rFonts w:ascii="宋体" w:hAnsi="宋体"/>
          <w:sz w:val="22"/>
        </w:rPr>
        <w:t>5%</w:t>
      </w:r>
      <w:r>
        <w:rPr>
          <w:rFonts w:hint="eastAsia" w:ascii="宋体" w:hAnsi="宋体"/>
          <w:sz w:val="22"/>
        </w:rPr>
        <w:t>；</w:t>
      </w:r>
    </w:p>
    <w:p>
      <w:pPr>
        <w:spacing w:line="276" w:lineRule="auto"/>
        <w:ind w:firstLine="437"/>
        <w:rPr>
          <w:rFonts w:ascii="宋体" w:hAnsi="宋体"/>
          <w:sz w:val="22"/>
        </w:rPr>
      </w:pPr>
      <w:r>
        <w:rPr>
          <w:rFonts w:hint="eastAsia" w:ascii="宋体" w:hAnsi="宋体"/>
          <w:sz w:val="22"/>
        </w:rPr>
        <w:t>B</w:t>
      </w:r>
      <w:r>
        <w:rPr>
          <w:rFonts w:ascii="宋体" w:hAnsi="宋体"/>
          <w:sz w:val="22"/>
        </w:rPr>
        <w:t>2</w:t>
      </w:r>
      <w:r>
        <w:rPr>
          <w:rFonts w:hint="eastAsia" w:ascii="宋体" w:hAnsi="宋体"/>
          <w:sz w:val="22"/>
        </w:rPr>
        <w:t>、B1分别为根据</w:t>
      </w:r>
      <w:r>
        <w:rPr>
          <w:rFonts w:ascii="宋体" w:hAnsi="宋体"/>
          <w:sz w:val="22"/>
        </w:rPr>
        <w:t>上阈值、下阈值计算的</w:t>
      </w:r>
      <w:r>
        <w:rPr>
          <w:rFonts w:hint="eastAsia" w:ascii="宋体" w:hAnsi="宋体"/>
          <w:sz w:val="22"/>
        </w:rPr>
        <w:t>D日基准单位净值；</w:t>
      </w:r>
    </w:p>
    <w:p>
      <w:pPr>
        <w:spacing w:line="276" w:lineRule="auto"/>
        <w:ind w:firstLine="437"/>
        <w:rPr>
          <w:rFonts w:ascii="宋体" w:hAnsi="宋体"/>
          <w:sz w:val="22"/>
        </w:rPr>
      </w:pPr>
      <w:r>
        <w:rPr>
          <w:rFonts w:hint="eastAsia" w:ascii="宋体" w:hAnsi="宋体"/>
          <w:sz w:val="22"/>
        </w:rPr>
        <w:t>M为D日业绩报酬计提前产品单位净值。</w:t>
      </w:r>
    </w:p>
    <w:p>
      <w:pPr>
        <w:spacing w:line="276" w:lineRule="auto"/>
        <w:ind w:firstLine="437"/>
        <w:rPr>
          <w:rFonts w:ascii="宋体" w:hAnsi="宋体"/>
          <w:sz w:val="22"/>
        </w:rPr>
      </w:pPr>
      <w:r>
        <w:rPr>
          <w:rFonts w:ascii="宋体" w:hAnsi="宋体"/>
          <w:sz w:val="22"/>
        </w:rPr>
        <w:t>a</w:t>
      </w:r>
      <w:r>
        <w:rPr>
          <w:rFonts w:hint="eastAsia" w:ascii="宋体" w:hAnsi="宋体"/>
          <w:sz w:val="22"/>
        </w:rPr>
        <w:t>为业绩报酬计提比例，本产品业绩报酬计提比例为5</w:t>
      </w:r>
      <w:r>
        <w:rPr>
          <w:rFonts w:ascii="宋体" w:hAnsi="宋体"/>
          <w:sz w:val="22"/>
        </w:rPr>
        <w:t>0</w:t>
      </w:r>
      <w:r>
        <w:rPr>
          <w:rFonts w:hint="eastAsia" w:ascii="宋体" w:hAnsi="宋体"/>
          <w:sz w:val="22"/>
        </w:rPr>
        <w:t>%</w:t>
      </w:r>
    </w:p>
    <w:p>
      <w:pPr>
        <w:spacing w:line="276" w:lineRule="auto"/>
        <w:ind w:firstLine="437"/>
        <w:rPr>
          <w:rFonts w:ascii="宋体" w:hAnsi="宋体"/>
          <w:sz w:val="22"/>
        </w:rPr>
      </w:pPr>
      <w:r>
        <w:rPr>
          <w:rFonts w:hint="eastAsia" w:ascii="宋体" w:hAnsi="宋体"/>
          <w:b/>
          <w:sz w:val="22"/>
        </w:rPr>
        <w:t>管理人可对业绩报酬计提基准阈值R1、R2及计提比例a进行调整，并提前2个工作日进行信息披露。</w:t>
      </w:r>
    </w:p>
    <w:p>
      <w:pPr>
        <w:spacing w:line="276" w:lineRule="auto"/>
        <w:ind w:firstLine="437"/>
        <w:rPr>
          <w:rFonts w:ascii="宋体" w:hAnsi="宋体"/>
          <w:sz w:val="22"/>
        </w:rPr>
      </w:pPr>
      <w:r>
        <w:rPr>
          <w:rFonts w:hint="eastAsia" w:ascii="宋体" w:hAnsi="宋体"/>
          <w:sz w:val="22"/>
        </w:rPr>
        <w:t>（1）分别计算D日基准单位净值B</w:t>
      </w:r>
      <w:r>
        <w:rPr>
          <w:rFonts w:ascii="宋体" w:hAnsi="宋体"/>
          <w:sz w:val="22"/>
        </w:rPr>
        <w:t>1</w:t>
      </w:r>
      <w:r>
        <w:rPr>
          <w:rFonts w:hint="eastAsia" w:ascii="宋体" w:hAnsi="宋体"/>
          <w:sz w:val="22"/>
        </w:rPr>
        <w:t>、B2：</w:t>
      </w:r>
    </w:p>
    <w:p>
      <w:pPr>
        <w:spacing w:line="276" w:lineRule="auto"/>
        <w:ind w:firstLine="437"/>
        <w:rPr>
          <w:rFonts w:ascii="宋体" w:hAnsi="宋体"/>
          <w:sz w:val="22"/>
        </w:rPr>
      </w:pPr>
      <w:r>
        <w:rPr>
          <w:rFonts w:hint="eastAsia" w:ascii="宋体" w:hAnsi="宋体"/>
          <w:sz w:val="22"/>
        </w:rPr>
        <w:t>①当T&lt;=91时：</w:t>
      </w:r>
    </w:p>
    <w:p>
      <w:pPr>
        <w:spacing w:line="276" w:lineRule="auto"/>
        <w:ind w:firstLine="437"/>
        <w:rPr>
          <w:rFonts w:ascii="宋体" w:hAnsi="宋体"/>
          <w:sz w:val="22"/>
        </w:rPr>
      </w:pPr>
      <w:r>
        <w:rPr>
          <w:rFonts w:ascii="宋体" w:hAnsi="宋体"/>
          <w:sz w:val="22"/>
        </w:rPr>
        <w:t>B1=1.0000</w:t>
      </w:r>
      <w:r>
        <w:rPr>
          <w:rFonts w:hint="eastAsia" w:ascii="宋体" w:hAnsi="宋体"/>
          <w:sz w:val="22"/>
        </w:rPr>
        <w:t>×</w:t>
      </w:r>
      <w:r>
        <w:rPr>
          <w:rFonts w:ascii="宋体" w:hAnsi="宋体"/>
          <w:sz w:val="22"/>
        </w:rPr>
        <w:t>(1+R1×T/365)</w:t>
      </w:r>
      <w:r>
        <w:rPr>
          <w:rFonts w:hint="eastAsia" w:ascii="宋体" w:hAnsi="宋体"/>
          <w:sz w:val="22"/>
        </w:rPr>
        <w:t>，</w:t>
      </w:r>
    </w:p>
    <w:p>
      <w:pPr>
        <w:spacing w:line="276" w:lineRule="auto"/>
        <w:ind w:firstLine="437"/>
        <w:rPr>
          <w:rFonts w:ascii="宋体" w:hAnsi="宋体"/>
          <w:sz w:val="22"/>
        </w:rPr>
      </w:pPr>
      <w:r>
        <w:rPr>
          <w:rFonts w:ascii="宋体" w:hAnsi="宋体"/>
          <w:sz w:val="22"/>
        </w:rPr>
        <w:t>B2=1.0000</w:t>
      </w:r>
      <w:r>
        <w:rPr>
          <w:rFonts w:hint="eastAsia" w:ascii="宋体" w:hAnsi="宋体"/>
          <w:sz w:val="22"/>
        </w:rPr>
        <w:t>×</w:t>
      </w:r>
      <w:r>
        <w:rPr>
          <w:rFonts w:ascii="宋体" w:hAnsi="宋体"/>
          <w:sz w:val="22"/>
        </w:rPr>
        <w:t>(1+R2×T/365)。</w:t>
      </w:r>
    </w:p>
    <w:p>
      <w:pPr>
        <w:spacing w:line="276" w:lineRule="auto"/>
        <w:ind w:firstLine="437"/>
        <w:rPr>
          <w:rFonts w:ascii="宋体" w:hAnsi="宋体"/>
          <w:sz w:val="22"/>
        </w:rPr>
      </w:pPr>
      <w:r>
        <w:rPr>
          <w:rFonts w:hint="eastAsia" w:ascii="宋体" w:hAnsi="宋体"/>
          <w:sz w:val="22"/>
        </w:rPr>
        <w:t>②当T&gt;91时：</w:t>
      </w:r>
    </w:p>
    <w:p>
      <w:pPr>
        <w:spacing w:line="276" w:lineRule="auto"/>
        <w:ind w:firstLine="437"/>
        <w:rPr>
          <w:rFonts w:ascii="宋体" w:hAnsi="宋体"/>
          <w:sz w:val="22"/>
        </w:rPr>
      </w:pPr>
      <w:r>
        <w:rPr>
          <w:rFonts w:ascii="宋体" w:hAnsi="宋体"/>
          <w:sz w:val="22"/>
        </w:rPr>
        <w:t>B1=NAV</w:t>
      </w:r>
      <w:r>
        <w:rPr>
          <w:rFonts w:ascii="宋体" w:hAnsi="宋体"/>
          <w:sz w:val="28"/>
          <w:szCs w:val="32"/>
          <w:vertAlign w:val="subscript"/>
        </w:rPr>
        <w:t>D-</w:t>
      </w:r>
      <w:r>
        <w:rPr>
          <w:rFonts w:hint="eastAsia" w:ascii="宋体" w:hAnsi="宋体"/>
          <w:sz w:val="28"/>
          <w:szCs w:val="32"/>
          <w:vertAlign w:val="subscript"/>
        </w:rPr>
        <w:t>91</w:t>
      </w:r>
      <w:r>
        <w:rPr>
          <w:rFonts w:hint="eastAsia" w:ascii="宋体" w:hAnsi="宋体"/>
          <w:sz w:val="22"/>
        </w:rPr>
        <w:t>×</w:t>
      </w:r>
      <w:r>
        <w:rPr>
          <w:rFonts w:ascii="宋体" w:hAnsi="宋体"/>
          <w:sz w:val="22"/>
        </w:rPr>
        <w:t>(1+R1×</w:t>
      </w:r>
      <w:r>
        <w:rPr>
          <w:rFonts w:hint="eastAsia" w:ascii="宋体" w:hAnsi="宋体"/>
          <w:sz w:val="22"/>
        </w:rPr>
        <w:t>91</w:t>
      </w:r>
      <w:r>
        <w:rPr>
          <w:rFonts w:ascii="宋体" w:hAnsi="宋体"/>
          <w:sz w:val="22"/>
        </w:rPr>
        <w:t>/365)</w:t>
      </w:r>
      <w:r>
        <w:rPr>
          <w:rFonts w:hint="eastAsia" w:ascii="宋体" w:hAnsi="宋体"/>
          <w:sz w:val="22"/>
        </w:rPr>
        <w:t>，</w:t>
      </w:r>
    </w:p>
    <w:p>
      <w:pPr>
        <w:spacing w:line="276" w:lineRule="auto"/>
        <w:ind w:firstLine="437"/>
        <w:rPr>
          <w:rFonts w:ascii="宋体" w:hAnsi="宋体"/>
          <w:sz w:val="22"/>
        </w:rPr>
      </w:pPr>
      <w:r>
        <w:rPr>
          <w:rFonts w:ascii="宋体" w:hAnsi="宋体"/>
          <w:sz w:val="22"/>
        </w:rPr>
        <w:t>B2=NAV</w:t>
      </w:r>
      <w:r>
        <w:rPr>
          <w:rFonts w:ascii="宋体" w:hAnsi="宋体"/>
          <w:sz w:val="28"/>
          <w:szCs w:val="32"/>
          <w:vertAlign w:val="subscript"/>
        </w:rPr>
        <w:t>D-</w:t>
      </w:r>
      <w:r>
        <w:rPr>
          <w:rFonts w:hint="eastAsia" w:ascii="宋体" w:hAnsi="宋体"/>
          <w:sz w:val="28"/>
          <w:szCs w:val="32"/>
          <w:vertAlign w:val="subscript"/>
        </w:rPr>
        <w:t>91</w:t>
      </w:r>
      <w:r>
        <w:rPr>
          <w:rFonts w:hint="eastAsia" w:ascii="宋体" w:hAnsi="宋体"/>
          <w:sz w:val="22"/>
        </w:rPr>
        <w:t>×</w:t>
      </w:r>
      <w:r>
        <w:rPr>
          <w:rFonts w:ascii="宋体" w:hAnsi="宋体"/>
          <w:sz w:val="22"/>
        </w:rPr>
        <w:t>(1+R2×</w:t>
      </w:r>
      <w:r>
        <w:rPr>
          <w:rFonts w:hint="eastAsia" w:ascii="宋体" w:hAnsi="宋体"/>
          <w:sz w:val="22"/>
        </w:rPr>
        <w:t>91</w:t>
      </w:r>
      <w:r>
        <w:rPr>
          <w:rFonts w:ascii="宋体" w:hAnsi="宋体"/>
          <w:sz w:val="22"/>
        </w:rPr>
        <w:t>/365)。</w:t>
      </w:r>
    </w:p>
    <w:p>
      <w:pPr>
        <w:spacing w:line="276" w:lineRule="auto"/>
        <w:ind w:firstLine="437"/>
        <w:rPr>
          <w:rFonts w:ascii="宋体" w:hAnsi="宋体"/>
          <w:sz w:val="22"/>
        </w:rPr>
      </w:pPr>
      <w:r>
        <w:rPr>
          <w:rFonts w:hint="eastAsia" w:ascii="宋体" w:hAnsi="宋体"/>
          <w:sz w:val="22"/>
        </w:rPr>
        <w:t>（</w:t>
      </w:r>
      <w:r>
        <w:rPr>
          <w:rFonts w:ascii="宋体" w:hAnsi="宋体"/>
          <w:sz w:val="22"/>
        </w:rPr>
        <w:t>2）计算D</w:t>
      </w:r>
      <w:r>
        <w:rPr>
          <w:rFonts w:hint="eastAsia" w:ascii="宋体" w:hAnsi="宋体"/>
          <w:sz w:val="22"/>
        </w:rPr>
        <w:t>日业绩报酬计提金额：</w:t>
      </w:r>
    </w:p>
    <w:p>
      <w:pPr>
        <w:spacing w:line="276" w:lineRule="auto"/>
        <w:ind w:firstLine="437"/>
        <w:rPr>
          <w:rFonts w:ascii="宋体" w:hAnsi="宋体"/>
          <w:sz w:val="22"/>
        </w:rPr>
      </w:pPr>
      <w:r>
        <w:rPr>
          <w:rFonts w:hint="eastAsia" w:ascii="宋体" w:hAnsi="宋体"/>
          <w:sz w:val="22"/>
        </w:rPr>
        <w:t>①当M&gt;</w:t>
      </w:r>
      <w:r>
        <w:rPr>
          <w:rFonts w:ascii="宋体" w:hAnsi="宋体"/>
          <w:sz w:val="22"/>
        </w:rPr>
        <w:t>=</w:t>
      </w:r>
      <w:r>
        <w:rPr>
          <w:rFonts w:hint="eastAsia" w:ascii="宋体" w:hAnsi="宋体"/>
          <w:sz w:val="22"/>
        </w:rPr>
        <w:t>B</w:t>
      </w:r>
      <w:r>
        <w:rPr>
          <w:rFonts w:ascii="宋体" w:hAnsi="宋体"/>
          <w:sz w:val="22"/>
        </w:rPr>
        <w:t>2</w:t>
      </w:r>
      <w:r>
        <w:rPr>
          <w:rFonts w:hint="eastAsia" w:ascii="宋体" w:hAnsi="宋体"/>
          <w:sz w:val="22"/>
        </w:rPr>
        <w:t>时：</w:t>
      </w:r>
    </w:p>
    <w:p>
      <w:pPr>
        <w:spacing w:line="276" w:lineRule="auto"/>
        <w:ind w:firstLine="437"/>
        <w:rPr>
          <w:rFonts w:ascii="宋体" w:hAnsi="宋体"/>
          <w:sz w:val="22"/>
        </w:rPr>
      </w:pPr>
      <w:r>
        <w:rPr>
          <w:rFonts w:hint="eastAsia" w:ascii="宋体" w:hAnsi="宋体"/>
          <w:sz w:val="22"/>
        </w:rPr>
        <w:t>计提业绩报酬金额=（M-B</w:t>
      </w:r>
      <w:r>
        <w:rPr>
          <w:rFonts w:ascii="宋体" w:hAnsi="宋体"/>
          <w:sz w:val="22"/>
        </w:rPr>
        <w:t>2</w:t>
      </w:r>
      <w:r>
        <w:rPr>
          <w:rFonts w:hint="eastAsia" w:ascii="宋体" w:hAnsi="宋体"/>
          <w:sz w:val="22"/>
        </w:rPr>
        <w:t>）×D日日终产品总份额×a；</w:t>
      </w:r>
    </w:p>
    <w:p>
      <w:pPr>
        <w:spacing w:line="276" w:lineRule="auto"/>
        <w:ind w:firstLine="437"/>
        <w:rPr>
          <w:rFonts w:ascii="宋体" w:hAnsi="宋体"/>
          <w:sz w:val="22"/>
        </w:rPr>
      </w:pPr>
      <w:r>
        <w:rPr>
          <w:rFonts w:hint="eastAsia" w:ascii="宋体" w:hAnsi="宋体"/>
          <w:sz w:val="22"/>
        </w:rPr>
        <w:t>②</w:t>
      </w:r>
      <w:r>
        <w:rPr>
          <w:rFonts w:ascii="宋体" w:hAnsi="宋体"/>
          <w:sz w:val="22"/>
        </w:rPr>
        <w:t>当B1&lt;=M&lt;B2</w:t>
      </w:r>
      <w:r>
        <w:rPr>
          <w:rFonts w:hint="eastAsia" w:ascii="宋体" w:hAnsi="宋体"/>
          <w:sz w:val="22"/>
        </w:rPr>
        <w:t>时：</w:t>
      </w:r>
    </w:p>
    <w:p>
      <w:pPr>
        <w:spacing w:line="276" w:lineRule="auto"/>
        <w:ind w:firstLine="437"/>
        <w:rPr>
          <w:rFonts w:ascii="宋体" w:hAnsi="宋体"/>
          <w:sz w:val="22"/>
        </w:rPr>
      </w:pPr>
      <w:r>
        <w:rPr>
          <w:rFonts w:hint="eastAsia" w:ascii="宋体" w:hAnsi="宋体"/>
          <w:sz w:val="22"/>
        </w:rPr>
        <w:t>不进行</w:t>
      </w:r>
      <w:r>
        <w:rPr>
          <w:rFonts w:ascii="宋体" w:hAnsi="宋体"/>
          <w:sz w:val="22"/>
        </w:rPr>
        <w:t>调整</w:t>
      </w:r>
      <w:r>
        <w:rPr>
          <w:rFonts w:hint="eastAsia" w:ascii="宋体" w:hAnsi="宋体"/>
          <w:sz w:val="22"/>
        </w:rPr>
        <w:t>；</w:t>
      </w:r>
    </w:p>
    <w:p>
      <w:pPr>
        <w:spacing w:line="276" w:lineRule="auto"/>
        <w:ind w:firstLine="437"/>
        <w:rPr>
          <w:rFonts w:ascii="宋体" w:hAnsi="宋体"/>
          <w:sz w:val="22"/>
        </w:rPr>
      </w:pPr>
      <w:r>
        <w:rPr>
          <w:rFonts w:hint="eastAsia" w:ascii="宋体" w:hAnsi="宋体"/>
          <w:sz w:val="22"/>
        </w:rPr>
        <w:t>③当M&lt;B</w:t>
      </w:r>
      <w:r>
        <w:rPr>
          <w:rFonts w:ascii="宋体" w:hAnsi="宋体"/>
          <w:sz w:val="22"/>
        </w:rPr>
        <w:t>1</w:t>
      </w:r>
      <w:r>
        <w:rPr>
          <w:rFonts w:hint="eastAsia" w:ascii="宋体" w:hAnsi="宋体"/>
          <w:sz w:val="22"/>
        </w:rPr>
        <w:t>时：</w:t>
      </w:r>
    </w:p>
    <w:p>
      <w:pPr>
        <w:spacing w:line="276" w:lineRule="auto"/>
        <w:ind w:firstLine="437"/>
        <w:rPr>
          <w:rFonts w:ascii="宋体" w:hAnsi="宋体"/>
          <w:sz w:val="22"/>
        </w:rPr>
      </w:pPr>
      <w:r>
        <w:rPr>
          <w:rFonts w:hint="eastAsia" w:ascii="宋体" w:hAnsi="宋体"/>
          <w:sz w:val="22"/>
        </w:rPr>
        <w:t>冲减业绩报酬账面余额=（B</w:t>
      </w:r>
      <w:r>
        <w:rPr>
          <w:rFonts w:ascii="宋体" w:hAnsi="宋体"/>
          <w:sz w:val="22"/>
        </w:rPr>
        <w:t>1</w:t>
      </w:r>
      <w:r>
        <w:rPr>
          <w:rFonts w:hint="eastAsia" w:ascii="宋体" w:hAnsi="宋体"/>
          <w:sz w:val="22"/>
        </w:rPr>
        <w:t>-M）×D日日终产品总份额，但以已计提未支付业绩报酬账面余额为限。</w:t>
      </w:r>
    </w:p>
    <w:p>
      <w:pPr>
        <w:spacing w:line="240" w:lineRule="exact"/>
        <w:ind w:firstLine="435"/>
        <w:rPr>
          <w:rFonts w:ascii="宋体" w:hAnsi="宋体"/>
          <w:b/>
          <w:szCs w:val="21"/>
        </w:rPr>
      </w:pPr>
      <w:r>
        <w:rPr>
          <w:rFonts w:hint="eastAsia" w:ascii="宋体" w:hAnsi="宋体"/>
          <w:b/>
          <w:szCs w:val="21"/>
        </w:rPr>
        <w:t>3、计算示例</w:t>
      </w:r>
    </w:p>
    <w:p>
      <w:pPr>
        <w:spacing w:line="240" w:lineRule="exact"/>
        <w:ind w:firstLine="435"/>
        <w:rPr>
          <w:rFonts w:ascii="宋体" w:hAnsi="宋体"/>
          <w:szCs w:val="21"/>
        </w:rPr>
      </w:pPr>
      <w:r>
        <w:rPr>
          <w:rFonts w:hint="eastAsia" w:ascii="宋体" w:hAnsi="宋体"/>
          <w:szCs w:val="21"/>
        </w:rPr>
        <w:t>假设某</w:t>
      </w:r>
      <w:r>
        <w:rPr>
          <w:rFonts w:ascii="宋体" w:hAnsi="宋体"/>
          <w:szCs w:val="21"/>
        </w:rPr>
        <w:t>投资</w:t>
      </w:r>
      <w:r>
        <w:rPr>
          <w:rFonts w:hint="eastAsia" w:ascii="宋体" w:hAnsi="宋体"/>
          <w:szCs w:val="21"/>
        </w:rPr>
        <w:t>者申购</w:t>
      </w:r>
      <w:r>
        <w:rPr>
          <w:rFonts w:ascii="宋体" w:hAnsi="宋体"/>
          <w:szCs w:val="21"/>
        </w:rPr>
        <w:t>本产品</w:t>
      </w:r>
      <w:r>
        <w:rPr>
          <w:rFonts w:hint="eastAsia" w:ascii="宋体" w:hAnsi="宋体"/>
          <w:szCs w:val="21"/>
        </w:rPr>
        <w:t>1万元</w:t>
      </w:r>
      <w:r>
        <w:rPr>
          <w:rFonts w:ascii="宋体" w:hAnsi="宋体"/>
          <w:szCs w:val="21"/>
        </w:rPr>
        <w:t>，</w:t>
      </w:r>
      <w:r>
        <w:rPr>
          <w:rFonts w:hint="eastAsia" w:ascii="宋体" w:hAnsi="宋体"/>
          <w:szCs w:val="21"/>
        </w:rPr>
        <w:t>投资周期期限为91</w:t>
      </w:r>
      <w:r>
        <w:rPr>
          <w:rFonts w:ascii="宋体" w:hAnsi="宋体"/>
          <w:szCs w:val="21"/>
        </w:rPr>
        <w:t>天，</w:t>
      </w:r>
      <w:r>
        <w:rPr>
          <w:rFonts w:hint="eastAsia" w:ascii="宋体" w:hAnsi="宋体"/>
          <w:szCs w:val="21"/>
        </w:rPr>
        <w:t>该开放申购期结束</w:t>
      </w:r>
      <w:r>
        <w:rPr>
          <w:rFonts w:ascii="宋体" w:hAnsi="宋体"/>
          <w:szCs w:val="21"/>
        </w:rPr>
        <w:t>日</w:t>
      </w:r>
      <w:r>
        <w:rPr>
          <w:rFonts w:hint="eastAsia" w:ascii="宋体" w:hAnsi="宋体"/>
          <w:szCs w:val="21"/>
        </w:rPr>
        <w:t>的产品单位</w:t>
      </w:r>
      <w:r>
        <w:rPr>
          <w:rFonts w:ascii="宋体" w:hAnsi="宋体"/>
          <w:szCs w:val="21"/>
        </w:rPr>
        <w:t>净值</w:t>
      </w:r>
      <w:r>
        <w:rPr>
          <w:rFonts w:hint="eastAsia" w:ascii="宋体" w:hAnsi="宋体"/>
          <w:szCs w:val="21"/>
        </w:rPr>
        <w:t>为1.00</w:t>
      </w:r>
      <w:r>
        <w:rPr>
          <w:rFonts w:ascii="宋体" w:hAnsi="宋体"/>
          <w:szCs w:val="21"/>
        </w:rPr>
        <w:t>22</w:t>
      </w:r>
      <w:r>
        <w:rPr>
          <w:rFonts w:hint="eastAsia" w:ascii="宋体" w:hAnsi="宋体"/>
          <w:szCs w:val="21"/>
        </w:rPr>
        <w:t>，</w:t>
      </w:r>
      <w:r>
        <w:rPr>
          <w:rFonts w:ascii="宋体" w:hAnsi="宋体"/>
          <w:szCs w:val="21"/>
        </w:rPr>
        <w:t>客户份额于</w:t>
      </w:r>
      <w:r>
        <w:rPr>
          <w:rFonts w:hint="eastAsia" w:ascii="宋体" w:hAnsi="宋体"/>
          <w:szCs w:val="21"/>
        </w:rPr>
        <w:t>该开放申购期结束日的下一工作日</w:t>
      </w:r>
      <w:r>
        <w:rPr>
          <w:rFonts w:ascii="宋体" w:hAnsi="宋体"/>
          <w:szCs w:val="21"/>
        </w:rPr>
        <w:t>（</w:t>
      </w:r>
      <w:r>
        <w:rPr>
          <w:rFonts w:hint="eastAsia" w:ascii="宋体" w:hAnsi="宋体"/>
          <w:szCs w:val="21"/>
        </w:rPr>
        <w:t>申购确认日</w:t>
      </w:r>
      <w:r>
        <w:rPr>
          <w:rFonts w:ascii="宋体" w:hAnsi="宋体"/>
          <w:szCs w:val="21"/>
        </w:rPr>
        <w:t>、收益起算日）确认</w:t>
      </w:r>
      <w:r>
        <w:rPr>
          <w:rFonts w:hint="eastAsia" w:ascii="宋体" w:hAnsi="宋体"/>
          <w:szCs w:val="21"/>
        </w:rPr>
        <w:t>，</w:t>
      </w:r>
      <w:r>
        <w:rPr>
          <w:rFonts w:ascii="宋体" w:hAnsi="宋体"/>
          <w:szCs w:val="21"/>
        </w:rPr>
        <w:t>确认份额为</w:t>
      </w:r>
      <w:r>
        <w:rPr>
          <w:rFonts w:hint="eastAsia" w:ascii="宋体" w:hAnsi="宋体"/>
          <w:szCs w:val="21"/>
        </w:rPr>
        <w:t>10000元÷1.0</w:t>
      </w:r>
      <w:r>
        <w:rPr>
          <w:rFonts w:ascii="宋体" w:hAnsi="宋体"/>
          <w:szCs w:val="21"/>
        </w:rPr>
        <w:t>022</w:t>
      </w:r>
      <w:r>
        <w:rPr>
          <w:rFonts w:hint="eastAsia" w:ascii="宋体" w:hAnsi="宋体"/>
          <w:szCs w:val="21"/>
        </w:rPr>
        <w:t>元</w:t>
      </w:r>
      <w:r>
        <w:rPr>
          <w:rFonts w:ascii="宋体" w:hAnsi="宋体"/>
          <w:szCs w:val="21"/>
        </w:rPr>
        <w:t>/</w:t>
      </w:r>
      <w:r>
        <w:rPr>
          <w:rFonts w:hint="eastAsia" w:ascii="宋体" w:hAnsi="宋体"/>
          <w:szCs w:val="21"/>
        </w:rPr>
        <w:t>份=</w:t>
      </w:r>
      <w:r>
        <w:rPr>
          <w:rFonts w:ascii="宋体" w:hAnsi="宋体"/>
          <w:szCs w:val="21"/>
        </w:rPr>
        <w:t>9978.05</w:t>
      </w:r>
      <w:r>
        <w:rPr>
          <w:rFonts w:hint="eastAsia" w:ascii="宋体" w:hAnsi="宋体"/>
          <w:szCs w:val="21"/>
        </w:rPr>
        <w:t>份。投资周期到期</w:t>
      </w:r>
      <w:r>
        <w:rPr>
          <w:rFonts w:ascii="宋体" w:hAnsi="宋体"/>
          <w:szCs w:val="21"/>
        </w:rPr>
        <w:t>后，客户</w:t>
      </w:r>
      <w:r>
        <w:rPr>
          <w:rFonts w:hint="eastAsia" w:ascii="宋体" w:hAnsi="宋体"/>
          <w:szCs w:val="21"/>
        </w:rPr>
        <w:t>持有</w:t>
      </w:r>
      <w:r>
        <w:rPr>
          <w:rFonts w:ascii="宋体" w:hAnsi="宋体"/>
          <w:szCs w:val="21"/>
        </w:rPr>
        <w:t>份额</w:t>
      </w:r>
      <w:r>
        <w:rPr>
          <w:rFonts w:hint="eastAsia" w:ascii="宋体" w:hAnsi="宋体"/>
          <w:szCs w:val="21"/>
        </w:rPr>
        <w:t>自动</w:t>
      </w:r>
      <w:r>
        <w:rPr>
          <w:rFonts w:ascii="宋体" w:hAnsi="宋体"/>
          <w:szCs w:val="21"/>
        </w:rPr>
        <w:t>赎回，根据</w:t>
      </w:r>
      <w:r>
        <w:rPr>
          <w:rFonts w:hint="eastAsia" w:ascii="宋体" w:hAnsi="宋体"/>
          <w:szCs w:val="21"/>
        </w:rPr>
        <w:t>产品运作</w:t>
      </w:r>
      <w:r>
        <w:rPr>
          <w:rFonts w:ascii="宋体" w:hAnsi="宋体"/>
          <w:szCs w:val="21"/>
        </w:rPr>
        <w:t>情况</w:t>
      </w:r>
      <w:r>
        <w:rPr>
          <w:rFonts w:hint="eastAsia" w:ascii="宋体" w:hAnsi="宋体"/>
          <w:szCs w:val="21"/>
        </w:rPr>
        <w:t>，</w:t>
      </w:r>
      <w:r>
        <w:rPr>
          <w:rFonts w:ascii="宋体" w:hAnsi="宋体"/>
          <w:szCs w:val="21"/>
        </w:rPr>
        <w:t>有以下3</w:t>
      </w:r>
      <w:r>
        <w:rPr>
          <w:rFonts w:hint="eastAsia" w:ascii="宋体" w:hAnsi="宋体"/>
          <w:szCs w:val="21"/>
        </w:rPr>
        <w:t>种</w:t>
      </w:r>
      <w:r>
        <w:rPr>
          <w:rFonts w:ascii="宋体" w:hAnsi="宋体"/>
          <w:szCs w:val="21"/>
        </w:rPr>
        <w:t>情形：</w:t>
      </w:r>
    </w:p>
    <w:p>
      <w:pPr>
        <w:spacing w:line="240" w:lineRule="exact"/>
        <w:ind w:firstLine="435"/>
        <w:rPr>
          <w:rFonts w:ascii="宋体" w:hAnsi="宋体"/>
          <w:szCs w:val="21"/>
        </w:rPr>
      </w:pPr>
      <w:r>
        <w:rPr>
          <w:rFonts w:hint="eastAsia" w:ascii="宋体" w:hAnsi="宋体"/>
          <w:szCs w:val="21"/>
        </w:rPr>
        <w:t>情形</w:t>
      </w:r>
      <w:r>
        <w:rPr>
          <w:rFonts w:ascii="宋体" w:hAnsi="宋体"/>
          <w:szCs w:val="21"/>
        </w:rPr>
        <w:t>1</w:t>
      </w:r>
      <w:r>
        <w:rPr>
          <w:rFonts w:hint="eastAsia" w:ascii="宋体" w:hAnsi="宋体"/>
          <w:szCs w:val="21"/>
        </w:rPr>
        <w:t>：假设份额赎回日前一日产品单位净值</w:t>
      </w:r>
      <w:r>
        <w:rPr>
          <w:rFonts w:ascii="宋体" w:hAnsi="宋体"/>
          <w:szCs w:val="21"/>
        </w:rPr>
        <w:t>为1.0</w:t>
      </w:r>
      <w:r>
        <w:rPr>
          <w:rFonts w:hint="eastAsia" w:ascii="宋体" w:hAnsi="宋体"/>
          <w:szCs w:val="21"/>
        </w:rPr>
        <w:t>096，则</w:t>
      </w:r>
      <w:r>
        <w:rPr>
          <w:rFonts w:ascii="宋体" w:hAnsi="宋体"/>
          <w:szCs w:val="21"/>
        </w:rPr>
        <w:t>该</w:t>
      </w:r>
      <w:r>
        <w:rPr>
          <w:rFonts w:hint="eastAsia" w:ascii="宋体" w:hAnsi="宋体"/>
          <w:szCs w:val="21"/>
        </w:rPr>
        <w:t>投资周期单位</w:t>
      </w:r>
      <w:r>
        <w:rPr>
          <w:rFonts w:ascii="宋体" w:hAnsi="宋体"/>
          <w:szCs w:val="21"/>
        </w:rPr>
        <w:t>净值</w:t>
      </w:r>
      <w:r>
        <w:rPr>
          <w:rFonts w:hint="eastAsia" w:ascii="宋体" w:hAnsi="宋体"/>
          <w:szCs w:val="21"/>
        </w:rPr>
        <w:t>年化</w:t>
      </w:r>
      <w:r>
        <w:rPr>
          <w:rFonts w:ascii="宋体" w:hAnsi="宋体"/>
          <w:szCs w:val="21"/>
        </w:rPr>
        <w:t>增长率为</w:t>
      </w:r>
      <w:r>
        <w:rPr>
          <w:rFonts w:hint="eastAsia" w:ascii="宋体" w:hAnsi="宋体"/>
          <w:szCs w:val="21"/>
        </w:rPr>
        <w:t>：（</w:t>
      </w:r>
      <w:r>
        <w:rPr>
          <w:rFonts w:ascii="宋体" w:hAnsi="宋体"/>
          <w:szCs w:val="21"/>
        </w:rPr>
        <w:t>1.0</w:t>
      </w:r>
      <w:r>
        <w:rPr>
          <w:rFonts w:hint="eastAsia" w:ascii="宋体" w:hAnsi="宋体"/>
          <w:szCs w:val="21"/>
        </w:rPr>
        <w:t>096</w:t>
      </w:r>
      <w:r>
        <w:rPr>
          <w:rFonts w:ascii="宋体" w:hAnsi="宋体"/>
          <w:szCs w:val="21"/>
        </w:rPr>
        <w:t>-1.0022</w:t>
      </w:r>
      <w:r>
        <w:rPr>
          <w:rFonts w:hint="eastAsia" w:ascii="宋体" w:hAnsi="宋体"/>
          <w:szCs w:val="21"/>
        </w:rPr>
        <w:t>）</w:t>
      </w:r>
      <w:r>
        <w:rPr>
          <w:rFonts w:ascii="宋体" w:hAnsi="宋体"/>
          <w:szCs w:val="21"/>
        </w:rPr>
        <w:t>/1.0022</w:t>
      </w:r>
      <w:r>
        <w:rPr>
          <w:rFonts w:hint="eastAsia" w:ascii="宋体" w:hAnsi="宋体"/>
          <w:szCs w:val="21"/>
        </w:rPr>
        <w:t>×365/91</w:t>
      </w:r>
      <w:r>
        <w:rPr>
          <w:rFonts w:ascii="宋体" w:hAnsi="宋体"/>
          <w:szCs w:val="21"/>
        </w:rPr>
        <w:t>=</w:t>
      </w:r>
      <w:r>
        <w:rPr>
          <w:rFonts w:hint="eastAsia" w:ascii="宋体" w:hAnsi="宋体"/>
          <w:szCs w:val="21"/>
        </w:rPr>
        <w:t>2.96</w:t>
      </w:r>
      <w:r>
        <w:rPr>
          <w:rFonts w:ascii="宋体" w:hAnsi="宋体"/>
          <w:szCs w:val="21"/>
        </w:rPr>
        <w:t>%</w:t>
      </w:r>
      <w:r>
        <w:rPr>
          <w:rFonts w:hint="eastAsia" w:ascii="宋体" w:hAnsi="宋体"/>
          <w:szCs w:val="21"/>
        </w:rPr>
        <w:t>，</w:t>
      </w:r>
      <w:r>
        <w:rPr>
          <w:rFonts w:ascii="宋体" w:hAnsi="宋体"/>
          <w:szCs w:val="21"/>
        </w:rPr>
        <w:t>则客户</w:t>
      </w:r>
      <w:r>
        <w:rPr>
          <w:rFonts w:hint="eastAsia" w:ascii="宋体" w:hAnsi="宋体"/>
          <w:szCs w:val="21"/>
        </w:rPr>
        <w:t>最终的</w:t>
      </w:r>
      <w:r>
        <w:rPr>
          <w:rFonts w:ascii="宋体" w:hAnsi="宋体"/>
          <w:szCs w:val="21"/>
        </w:rPr>
        <w:t>收益合计为：</w:t>
      </w:r>
      <w:r>
        <w:rPr>
          <w:rFonts w:hint="eastAsia" w:ascii="宋体" w:hAnsi="宋体"/>
          <w:szCs w:val="21"/>
        </w:rPr>
        <w:t>（</w:t>
      </w:r>
      <w:r>
        <w:rPr>
          <w:rFonts w:ascii="宋体" w:hAnsi="宋体"/>
          <w:szCs w:val="21"/>
        </w:rPr>
        <w:t>1.0</w:t>
      </w:r>
      <w:r>
        <w:rPr>
          <w:rFonts w:hint="eastAsia" w:ascii="宋体" w:hAnsi="宋体"/>
          <w:szCs w:val="21"/>
        </w:rPr>
        <w:t>096</w:t>
      </w:r>
      <w:r>
        <w:rPr>
          <w:rFonts w:ascii="宋体" w:hAnsi="宋体"/>
          <w:szCs w:val="21"/>
        </w:rPr>
        <w:t>-1.0022</w:t>
      </w:r>
      <w:r>
        <w:rPr>
          <w:rFonts w:hint="eastAsia" w:ascii="宋体" w:hAnsi="宋体"/>
          <w:szCs w:val="21"/>
        </w:rPr>
        <w:t>）×</w:t>
      </w:r>
      <w:r>
        <w:rPr>
          <w:rFonts w:ascii="宋体" w:hAnsi="宋体"/>
          <w:szCs w:val="21"/>
        </w:rPr>
        <w:t>9978.05=</w:t>
      </w:r>
      <w:r>
        <w:rPr>
          <w:rFonts w:hint="eastAsia" w:ascii="宋体" w:hAnsi="宋体"/>
          <w:szCs w:val="21"/>
        </w:rPr>
        <w:t>73.84元。</w:t>
      </w:r>
    </w:p>
    <w:p>
      <w:pPr>
        <w:spacing w:line="240" w:lineRule="exact"/>
        <w:ind w:firstLine="435"/>
        <w:rPr>
          <w:rFonts w:ascii="宋体" w:hAnsi="宋体"/>
          <w:szCs w:val="21"/>
        </w:rPr>
      </w:pPr>
      <w:r>
        <w:rPr>
          <w:rFonts w:hint="eastAsia" w:ascii="宋体" w:hAnsi="宋体"/>
          <w:szCs w:val="21"/>
        </w:rPr>
        <w:t>情形</w:t>
      </w:r>
      <w:r>
        <w:rPr>
          <w:rFonts w:ascii="宋体" w:hAnsi="宋体"/>
          <w:szCs w:val="21"/>
        </w:rPr>
        <w:t>2</w:t>
      </w:r>
      <w:r>
        <w:rPr>
          <w:rFonts w:hint="eastAsia" w:ascii="宋体" w:hAnsi="宋体"/>
          <w:szCs w:val="21"/>
        </w:rPr>
        <w:t>：假设份额赎回日前一日产品单位净值为</w:t>
      </w:r>
      <w:r>
        <w:rPr>
          <w:rFonts w:ascii="宋体" w:hAnsi="宋体"/>
          <w:szCs w:val="21"/>
        </w:rPr>
        <w:t>1.0</w:t>
      </w:r>
      <w:r>
        <w:rPr>
          <w:rFonts w:hint="eastAsia" w:ascii="宋体" w:hAnsi="宋体"/>
          <w:szCs w:val="21"/>
        </w:rPr>
        <w:t>18</w:t>
      </w:r>
      <w:r>
        <w:rPr>
          <w:rFonts w:ascii="宋体" w:hAnsi="宋体"/>
          <w:szCs w:val="21"/>
        </w:rPr>
        <w:t>7</w:t>
      </w:r>
      <w:r>
        <w:rPr>
          <w:rFonts w:hint="eastAsia" w:ascii="宋体" w:hAnsi="宋体"/>
          <w:szCs w:val="21"/>
        </w:rPr>
        <w:t>，则该投资周期单位净值年化增长率为：（</w:t>
      </w:r>
      <w:r>
        <w:rPr>
          <w:rFonts w:ascii="宋体" w:hAnsi="宋体"/>
          <w:szCs w:val="21"/>
        </w:rPr>
        <w:t>1.0</w:t>
      </w:r>
      <w:r>
        <w:rPr>
          <w:rFonts w:hint="eastAsia" w:ascii="宋体" w:hAnsi="宋体"/>
          <w:szCs w:val="21"/>
        </w:rPr>
        <w:t>187-</w:t>
      </w:r>
      <w:r>
        <w:rPr>
          <w:rFonts w:ascii="宋体" w:hAnsi="宋体"/>
          <w:szCs w:val="21"/>
        </w:rPr>
        <w:t>1.0022</w:t>
      </w:r>
      <w:r>
        <w:rPr>
          <w:rFonts w:hint="eastAsia" w:ascii="宋体" w:hAnsi="宋体"/>
          <w:szCs w:val="21"/>
        </w:rPr>
        <w:t>）/1.00</w:t>
      </w:r>
      <w:r>
        <w:rPr>
          <w:rFonts w:ascii="宋体" w:hAnsi="宋体"/>
          <w:szCs w:val="21"/>
        </w:rPr>
        <w:t>22</w:t>
      </w:r>
      <w:r>
        <w:rPr>
          <w:rFonts w:hint="eastAsia" w:ascii="宋体" w:hAnsi="宋体"/>
          <w:szCs w:val="21"/>
        </w:rPr>
        <w:t>×365/91=</w:t>
      </w:r>
      <w:r>
        <w:rPr>
          <w:rFonts w:ascii="宋体" w:hAnsi="宋体"/>
          <w:szCs w:val="21"/>
        </w:rPr>
        <w:t>6.</w:t>
      </w:r>
      <w:r>
        <w:rPr>
          <w:rFonts w:hint="eastAsia" w:ascii="宋体" w:hAnsi="宋体"/>
          <w:szCs w:val="21"/>
        </w:rPr>
        <w:t>6</w:t>
      </w:r>
      <w:r>
        <w:rPr>
          <w:rFonts w:ascii="宋体" w:hAnsi="宋体"/>
          <w:szCs w:val="21"/>
        </w:rPr>
        <w:t>0</w:t>
      </w:r>
      <w:r>
        <w:rPr>
          <w:rFonts w:hint="eastAsia" w:ascii="宋体" w:hAnsi="宋体"/>
          <w:szCs w:val="21"/>
        </w:rPr>
        <w:t>%，</w:t>
      </w:r>
      <w:r>
        <w:rPr>
          <w:rFonts w:ascii="宋体" w:hAnsi="宋体"/>
          <w:szCs w:val="21"/>
        </w:rPr>
        <w:t>则客户</w:t>
      </w:r>
      <w:r>
        <w:rPr>
          <w:rFonts w:hint="eastAsia" w:ascii="宋体" w:hAnsi="宋体"/>
          <w:szCs w:val="21"/>
        </w:rPr>
        <w:t>最终的</w:t>
      </w:r>
      <w:r>
        <w:rPr>
          <w:rFonts w:ascii="宋体" w:hAnsi="宋体"/>
          <w:szCs w:val="21"/>
        </w:rPr>
        <w:t>收益合计为：</w:t>
      </w:r>
      <w:r>
        <w:rPr>
          <w:rFonts w:hint="eastAsia" w:ascii="宋体" w:hAnsi="宋体"/>
          <w:szCs w:val="21"/>
        </w:rPr>
        <w:t>（1.0187-1.0022）×9978.05</w:t>
      </w:r>
      <w:r>
        <w:rPr>
          <w:rFonts w:ascii="宋体" w:hAnsi="宋体"/>
          <w:szCs w:val="21"/>
        </w:rPr>
        <w:t>=</w:t>
      </w:r>
      <w:r>
        <w:rPr>
          <w:rFonts w:hint="eastAsia" w:ascii="宋体" w:hAnsi="宋体"/>
          <w:szCs w:val="21"/>
        </w:rPr>
        <w:t>164.64元。</w:t>
      </w:r>
    </w:p>
    <w:p>
      <w:pPr>
        <w:spacing w:line="240" w:lineRule="exact"/>
        <w:ind w:firstLine="435"/>
        <w:rPr>
          <w:rFonts w:ascii="宋体" w:hAnsi="宋体"/>
          <w:szCs w:val="21"/>
        </w:rPr>
      </w:pPr>
      <w:r>
        <w:rPr>
          <w:rFonts w:hint="eastAsia" w:ascii="宋体" w:hAnsi="宋体"/>
          <w:szCs w:val="21"/>
        </w:rPr>
        <w:t>情形</w:t>
      </w:r>
      <w:r>
        <w:rPr>
          <w:rFonts w:ascii="宋体" w:hAnsi="宋体"/>
          <w:szCs w:val="21"/>
        </w:rPr>
        <w:t>3</w:t>
      </w:r>
      <w:r>
        <w:rPr>
          <w:rFonts w:hint="eastAsia" w:ascii="宋体" w:hAnsi="宋体"/>
          <w:szCs w:val="21"/>
        </w:rPr>
        <w:t>：假设份额赎回日前一日产品单位净值为1.0</w:t>
      </w:r>
      <w:r>
        <w:rPr>
          <w:rFonts w:ascii="宋体" w:hAnsi="宋体"/>
          <w:szCs w:val="21"/>
        </w:rPr>
        <w:t>003</w:t>
      </w:r>
      <w:r>
        <w:rPr>
          <w:rFonts w:hint="eastAsia" w:ascii="宋体" w:hAnsi="宋体"/>
          <w:szCs w:val="21"/>
        </w:rPr>
        <w:t>，则该投资周期单位净值年化增长率为：（1.0</w:t>
      </w:r>
      <w:r>
        <w:rPr>
          <w:rFonts w:ascii="宋体" w:hAnsi="宋体"/>
          <w:szCs w:val="21"/>
        </w:rPr>
        <w:t>003</w:t>
      </w:r>
      <w:r>
        <w:rPr>
          <w:rFonts w:hint="eastAsia" w:ascii="宋体" w:hAnsi="宋体"/>
          <w:szCs w:val="21"/>
        </w:rPr>
        <w:t>-</w:t>
      </w:r>
      <w:r>
        <w:rPr>
          <w:rFonts w:ascii="宋体" w:hAnsi="宋体"/>
          <w:szCs w:val="21"/>
        </w:rPr>
        <w:t>1.0022</w:t>
      </w:r>
      <w:r>
        <w:rPr>
          <w:rFonts w:hint="eastAsia" w:ascii="宋体" w:hAnsi="宋体"/>
          <w:szCs w:val="21"/>
        </w:rPr>
        <w:t>）/1.00</w:t>
      </w:r>
      <w:r>
        <w:rPr>
          <w:rFonts w:ascii="宋体" w:hAnsi="宋体"/>
          <w:szCs w:val="21"/>
        </w:rPr>
        <w:t>22</w:t>
      </w:r>
      <w:r>
        <w:rPr>
          <w:rFonts w:hint="eastAsia" w:ascii="宋体" w:hAnsi="宋体"/>
          <w:szCs w:val="21"/>
        </w:rPr>
        <w:t>×365/91=</w:t>
      </w:r>
      <w:r>
        <w:rPr>
          <w:rFonts w:ascii="宋体" w:hAnsi="宋体"/>
          <w:szCs w:val="21"/>
        </w:rPr>
        <w:t>-0.</w:t>
      </w:r>
      <w:r>
        <w:rPr>
          <w:rFonts w:hint="eastAsia" w:ascii="宋体" w:hAnsi="宋体"/>
          <w:szCs w:val="21"/>
        </w:rPr>
        <w:t>01%，无</w:t>
      </w:r>
      <w:r>
        <w:rPr>
          <w:rFonts w:ascii="宋体" w:hAnsi="宋体"/>
          <w:szCs w:val="21"/>
        </w:rPr>
        <w:t>收益</w:t>
      </w:r>
      <w:r>
        <w:rPr>
          <w:rFonts w:hint="eastAsia" w:ascii="宋体" w:hAnsi="宋体"/>
          <w:szCs w:val="21"/>
        </w:rPr>
        <w:t>且</w:t>
      </w:r>
      <w:r>
        <w:rPr>
          <w:rFonts w:ascii="宋体" w:hAnsi="宋体"/>
          <w:szCs w:val="21"/>
        </w:rPr>
        <w:t>发生本金损失</w:t>
      </w:r>
      <w:r>
        <w:rPr>
          <w:rFonts w:hint="eastAsia" w:ascii="宋体" w:hAnsi="宋体"/>
          <w:szCs w:val="21"/>
        </w:rPr>
        <w:t>，最终兑付</w:t>
      </w:r>
      <w:r>
        <w:rPr>
          <w:rFonts w:ascii="宋体" w:hAnsi="宋体"/>
          <w:szCs w:val="21"/>
        </w:rPr>
        <w:t>客户资金为</w:t>
      </w:r>
      <w:r>
        <w:rPr>
          <w:rFonts w:hint="eastAsia" w:ascii="宋体" w:hAnsi="宋体"/>
          <w:szCs w:val="21"/>
        </w:rPr>
        <w:t>：</w:t>
      </w:r>
      <w:r>
        <w:rPr>
          <w:rFonts w:ascii="宋体" w:hAnsi="宋体"/>
          <w:szCs w:val="21"/>
        </w:rPr>
        <w:t>1.0003×9978.05=9981.04</w:t>
      </w:r>
      <w:r>
        <w:rPr>
          <w:rFonts w:hint="eastAsia" w:ascii="宋体" w:hAnsi="宋体"/>
          <w:szCs w:val="21"/>
        </w:rPr>
        <w:t>元。</w:t>
      </w:r>
    </w:p>
    <w:p>
      <w:pPr>
        <w:spacing w:line="240" w:lineRule="exact"/>
        <w:ind w:firstLine="316" w:firstLineChars="150"/>
        <w:rPr>
          <w:rFonts w:ascii="宋体" w:hAnsi="宋体"/>
          <w:b/>
          <w:szCs w:val="21"/>
        </w:rPr>
      </w:pPr>
      <w:r>
        <w:rPr>
          <w:rFonts w:hint="eastAsia" w:ascii="宋体" w:hAnsi="宋体"/>
          <w:b/>
          <w:szCs w:val="21"/>
        </w:rPr>
        <w:t>上述示例采用假设数据计算，并不代表投资者实际可获得的理财收益，</w:t>
      </w:r>
      <w:r>
        <w:rPr>
          <w:rFonts w:ascii="宋体" w:hAnsi="宋体"/>
          <w:b/>
          <w:szCs w:val="21"/>
        </w:rPr>
        <w:t>仅作计算参考，具体收益按照实际情况确定</w:t>
      </w:r>
      <w:r>
        <w:rPr>
          <w:rFonts w:hint="eastAsia" w:ascii="宋体" w:hAnsi="宋体"/>
          <w:b/>
          <w:szCs w:val="21"/>
        </w:rPr>
        <w:t>。实际赎回</w:t>
      </w:r>
      <w:r>
        <w:rPr>
          <w:rFonts w:ascii="宋体" w:hAnsi="宋体"/>
          <w:b/>
          <w:szCs w:val="21"/>
        </w:rPr>
        <w:t>金额</w:t>
      </w:r>
      <w:r>
        <w:rPr>
          <w:rFonts w:hint="eastAsia" w:ascii="宋体" w:hAnsi="宋体"/>
          <w:b/>
          <w:szCs w:val="21"/>
        </w:rPr>
        <w:t>可能</w:t>
      </w:r>
      <w:r>
        <w:rPr>
          <w:rFonts w:ascii="宋体" w:hAnsi="宋体"/>
          <w:b/>
          <w:szCs w:val="21"/>
        </w:rPr>
        <w:t>由于</w:t>
      </w:r>
      <w:r>
        <w:rPr>
          <w:rFonts w:hint="eastAsia" w:ascii="宋体" w:hAnsi="宋体"/>
          <w:b/>
          <w:szCs w:val="21"/>
        </w:rPr>
        <w:t>单位</w:t>
      </w:r>
      <w:r>
        <w:rPr>
          <w:rFonts w:ascii="宋体" w:hAnsi="宋体"/>
          <w:b/>
          <w:szCs w:val="21"/>
        </w:rPr>
        <w:t>净值</w:t>
      </w:r>
      <w:r>
        <w:rPr>
          <w:rFonts w:hint="eastAsia" w:ascii="宋体" w:hAnsi="宋体"/>
          <w:b/>
          <w:szCs w:val="21"/>
        </w:rPr>
        <w:t>和</w:t>
      </w:r>
      <w:r>
        <w:rPr>
          <w:rFonts w:ascii="宋体" w:hAnsi="宋体"/>
          <w:b/>
          <w:szCs w:val="21"/>
        </w:rPr>
        <w:t>业绩报酬保留位数等原因</w:t>
      </w:r>
      <w:r>
        <w:rPr>
          <w:rFonts w:hint="eastAsia" w:ascii="宋体" w:hAnsi="宋体"/>
          <w:b/>
          <w:szCs w:val="21"/>
        </w:rPr>
        <w:t>存在一定</w:t>
      </w:r>
      <w:r>
        <w:rPr>
          <w:rFonts w:ascii="宋体" w:hAnsi="宋体"/>
          <w:b/>
          <w:szCs w:val="21"/>
        </w:rPr>
        <w:t>精度范围内的差异，</w:t>
      </w:r>
      <w:r>
        <w:rPr>
          <w:rFonts w:hint="eastAsia" w:ascii="宋体" w:hAnsi="宋体"/>
          <w:b/>
          <w:szCs w:val="21"/>
        </w:rPr>
        <w:t>实际</w:t>
      </w:r>
      <w:r>
        <w:rPr>
          <w:rFonts w:ascii="宋体" w:hAnsi="宋体"/>
          <w:b/>
          <w:szCs w:val="21"/>
        </w:rPr>
        <w:t>兑付投资者赎回</w:t>
      </w:r>
      <w:r>
        <w:rPr>
          <w:rFonts w:hint="eastAsia" w:ascii="宋体" w:hAnsi="宋体"/>
          <w:b/>
          <w:szCs w:val="21"/>
        </w:rPr>
        <w:t>金额</w:t>
      </w:r>
      <w:r>
        <w:rPr>
          <w:rFonts w:ascii="宋体" w:hAnsi="宋体"/>
          <w:b/>
          <w:szCs w:val="21"/>
        </w:rPr>
        <w:t>以</w:t>
      </w:r>
      <w:r>
        <w:rPr>
          <w:rFonts w:hint="eastAsia" w:ascii="宋体" w:hAnsi="宋体"/>
          <w:b/>
          <w:szCs w:val="21"/>
        </w:rPr>
        <w:t>管理人</w:t>
      </w:r>
      <w:r>
        <w:rPr>
          <w:rFonts w:ascii="宋体" w:hAnsi="宋体"/>
          <w:b/>
          <w:szCs w:val="21"/>
        </w:rPr>
        <w:t>的计算金额为准。</w:t>
      </w:r>
    </w:p>
    <w:p>
      <w:pPr>
        <w:autoSpaceDE w:val="0"/>
        <w:autoSpaceDN w:val="0"/>
        <w:adjustRightInd w:val="0"/>
        <w:spacing w:before="120" w:line="220" w:lineRule="exact"/>
        <w:jc w:val="left"/>
        <w:rPr>
          <w:rFonts w:ascii="黑体" w:eastAsia="黑体" w:cs="黑体"/>
          <w:b/>
          <w:kern w:val="0"/>
          <w:szCs w:val="21"/>
        </w:rPr>
      </w:pPr>
      <w:r>
        <w:rPr>
          <w:rFonts w:hint="eastAsia" w:ascii="黑体" w:eastAsia="黑体" w:cs="黑体"/>
          <w:b/>
          <w:kern w:val="0"/>
          <w:szCs w:val="21"/>
        </w:rPr>
        <w:t>五、理财产品成立和</w:t>
      </w:r>
      <w:r>
        <w:rPr>
          <w:rFonts w:ascii="黑体" w:eastAsia="黑体" w:cs="黑体"/>
          <w:b/>
          <w:kern w:val="0"/>
          <w:szCs w:val="21"/>
        </w:rPr>
        <w:t>终止</w:t>
      </w:r>
    </w:p>
    <w:p>
      <w:pPr>
        <w:ind w:firstLine="422" w:firstLineChars="200"/>
        <w:rPr>
          <w:rFonts w:ascii="宋体" w:hAnsi="宋体"/>
          <w:b/>
          <w:bCs/>
          <w:szCs w:val="21"/>
        </w:rPr>
      </w:pPr>
      <w:r>
        <w:rPr>
          <w:rFonts w:hint="eastAsia" w:ascii="宋体" w:hAnsi="宋体"/>
          <w:b/>
          <w:bCs/>
          <w:szCs w:val="21"/>
        </w:rPr>
        <w:t>1、</w:t>
      </w:r>
      <w:r>
        <w:rPr>
          <w:rFonts w:ascii="宋体" w:hAnsi="宋体"/>
          <w:b/>
          <w:bCs/>
          <w:szCs w:val="21"/>
        </w:rPr>
        <w:t>产品</w:t>
      </w:r>
      <w:r>
        <w:rPr>
          <w:rFonts w:hint="eastAsia" w:ascii="宋体" w:hAnsi="宋体"/>
          <w:b/>
          <w:bCs/>
          <w:szCs w:val="21"/>
        </w:rPr>
        <w:t>成立</w:t>
      </w:r>
    </w:p>
    <w:p>
      <w:pPr>
        <w:ind w:firstLine="420" w:firstLineChars="200"/>
        <w:rPr>
          <w:rFonts w:ascii="宋体" w:hAnsi="宋体"/>
          <w:bCs/>
          <w:szCs w:val="21"/>
        </w:rPr>
      </w:pPr>
      <w:r>
        <w:rPr>
          <w:rFonts w:hint="eastAsia" w:ascii="宋体" w:hAnsi="宋体"/>
          <w:bCs/>
          <w:szCs w:val="21"/>
        </w:rPr>
        <w:t>（1）理财产品最低募集金额</w:t>
      </w:r>
      <w:r>
        <w:rPr>
          <w:rFonts w:ascii="宋体" w:hAnsi="宋体"/>
          <w:bCs/>
          <w:szCs w:val="21"/>
        </w:rPr>
        <w:t>要求</w:t>
      </w:r>
      <w:r>
        <w:rPr>
          <w:rFonts w:hint="eastAsia" w:ascii="宋体" w:hAnsi="宋体"/>
          <w:bCs/>
          <w:szCs w:val="21"/>
        </w:rPr>
        <w:t>：如本产品募集期限届满时募集资金总额未达到人民币</w:t>
      </w:r>
      <w:r>
        <w:rPr>
          <w:rFonts w:ascii="宋体" w:hAnsi="宋体"/>
          <w:bCs/>
          <w:szCs w:val="21"/>
        </w:rPr>
        <w:t>1000</w:t>
      </w:r>
      <w:r>
        <w:rPr>
          <w:rFonts w:hint="eastAsia" w:ascii="宋体" w:hAnsi="宋体"/>
          <w:bCs/>
          <w:szCs w:val="21"/>
        </w:rPr>
        <w:t>万元，苏州农商银行有权决定本产品是否成立；如不成立，苏州农商银行</w:t>
      </w:r>
      <w:r>
        <w:rPr>
          <w:rStyle w:val="19"/>
          <w:rFonts w:hint="eastAsia" w:ascii="宋体" w:hAnsi="宋体" w:cs="宋体"/>
          <w:i w:val="0"/>
          <w:szCs w:val="21"/>
        </w:rPr>
        <w:t>将在原定产品成立日后2个工作日内发布产品不成立信息，并</w:t>
      </w:r>
      <w:r>
        <w:rPr>
          <w:rFonts w:hint="eastAsia" w:ascii="宋体" w:hAnsi="宋体"/>
          <w:bCs/>
          <w:szCs w:val="21"/>
        </w:rPr>
        <w:t>将在募集期限届满后2个工作日内返还投资者已缴纳的投资款项。</w:t>
      </w:r>
    </w:p>
    <w:p>
      <w:pPr>
        <w:ind w:firstLine="420" w:firstLineChars="200"/>
        <w:rPr>
          <w:rFonts w:ascii="宋体" w:hAnsi="宋体"/>
          <w:bCs/>
          <w:szCs w:val="21"/>
        </w:rPr>
      </w:pPr>
      <w:r>
        <w:rPr>
          <w:rFonts w:hint="eastAsia" w:ascii="宋体" w:hAnsi="宋体"/>
          <w:bCs/>
          <w:szCs w:val="21"/>
        </w:rPr>
        <w:t>（2）当市场发生重大变动或突发性事件时，经苏州农商银行合理判断难以按照约定向投资者提供本产品时，为保护投资者利益，苏州农商银行有权确定本产品不成立，并将在募集期限届满后2个工作日内返还投资者已缴纳的投资款项。在产品募集期间，如募集资金总额已达到规模上限则本理财产品停止认购。</w:t>
      </w:r>
    </w:p>
    <w:p>
      <w:pPr>
        <w:spacing w:line="360" w:lineRule="auto"/>
        <w:ind w:firstLine="422" w:firstLineChars="200"/>
        <w:rPr>
          <w:rFonts w:ascii="宋体" w:hAnsi="宋体"/>
          <w:b/>
          <w:bCs/>
          <w:szCs w:val="21"/>
        </w:rPr>
      </w:pPr>
      <w:r>
        <w:rPr>
          <w:rFonts w:hint="eastAsia" w:ascii="宋体" w:hAnsi="宋体"/>
          <w:b/>
          <w:bCs/>
          <w:szCs w:val="21"/>
        </w:rPr>
        <w:t>2、提前</w:t>
      </w:r>
      <w:r>
        <w:rPr>
          <w:rFonts w:ascii="宋体" w:hAnsi="宋体"/>
          <w:b/>
          <w:bCs/>
          <w:szCs w:val="21"/>
        </w:rPr>
        <w:t>终止</w:t>
      </w:r>
    </w:p>
    <w:p>
      <w:pPr>
        <w:ind w:firstLine="422" w:firstLineChars="200"/>
        <w:rPr>
          <w:rFonts w:ascii="宋体" w:hAnsi="宋体"/>
          <w:bCs/>
          <w:szCs w:val="21"/>
        </w:rPr>
      </w:pPr>
      <w:r>
        <w:rPr>
          <w:rFonts w:hint="eastAsia" w:ascii="宋体" w:hAnsi="宋体"/>
          <w:b/>
          <w:bCs/>
          <w:szCs w:val="21"/>
        </w:rPr>
        <w:t>在本产品投资期间，投资者无提前终止权，如出现《理财产品销售协议书》中提到的提前终止情形，苏州农商银行有权但无义务提前终止本理财产品。</w:t>
      </w:r>
      <w:r>
        <w:rPr>
          <w:rFonts w:hint="eastAsia" w:ascii="宋体" w:hAnsi="宋体"/>
          <w:bCs/>
          <w:szCs w:val="21"/>
        </w:rPr>
        <w:t>一旦苏州农商银行提前终止本理财产品，将提前2个工作日以公告形式通知投资者，并在提前终止日后</w:t>
      </w:r>
      <w:r>
        <w:rPr>
          <w:rFonts w:ascii="宋体" w:hAnsi="宋体"/>
          <w:bCs/>
          <w:szCs w:val="21"/>
        </w:rPr>
        <w:t>2</w:t>
      </w:r>
      <w:r>
        <w:rPr>
          <w:rFonts w:hint="eastAsia" w:ascii="宋体" w:hAnsi="宋体"/>
          <w:bCs/>
          <w:szCs w:val="21"/>
        </w:rPr>
        <w:t>个工作日内向投资者返还理财本金及收益。</w:t>
      </w:r>
    </w:p>
    <w:p>
      <w:pPr>
        <w:spacing w:line="360" w:lineRule="auto"/>
        <w:ind w:firstLine="422" w:firstLineChars="200"/>
        <w:rPr>
          <w:rFonts w:ascii="宋体" w:hAnsi="宋体"/>
          <w:b/>
          <w:bCs/>
          <w:szCs w:val="21"/>
        </w:rPr>
      </w:pPr>
      <w:r>
        <w:rPr>
          <w:rFonts w:hint="eastAsia" w:ascii="宋体" w:hAnsi="宋体"/>
          <w:b/>
          <w:bCs/>
          <w:szCs w:val="21"/>
        </w:rPr>
        <w:t>3、延期终止</w:t>
      </w:r>
    </w:p>
    <w:p>
      <w:pPr>
        <w:ind w:firstLine="422" w:firstLineChars="200"/>
        <w:rPr>
          <w:rFonts w:ascii="宋体" w:hAnsi="宋体"/>
          <w:bCs/>
          <w:szCs w:val="21"/>
        </w:rPr>
      </w:pPr>
      <w:r>
        <w:rPr>
          <w:rFonts w:hint="eastAsia" w:ascii="宋体" w:hAnsi="宋体"/>
          <w:b/>
          <w:bCs/>
          <w:szCs w:val="21"/>
        </w:rPr>
        <w:t>在本产品投资期间，如出现《理财产品销售协议书》中提到的延期终止情形，苏州农商银行有权推迟本理财产品终止日。</w:t>
      </w:r>
      <w:r>
        <w:rPr>
          <w:rFonts w:hint="eastAsia" w:ascii="宋体" w:hAnsi="宋体"/>
          <w:bCs/>
          <w:szCs w:val="21"/>
        </w:rPr>
        <w:t>一旦苏州农商银行延期终止本理财产品，将在延期终止发生2个工作日内以公告形式通知投资者，并在延期终止情形消除后</w:t>
      </w:r>
      <w:r>
        <w:rPr>
          <w:rFonts w:ascii="宋体" w:hAnsi="宋体"/>
          <w:bCs/>
          <w:szCs w:val="21"/>
        </w:rPr>
        <w:t>2</w:t>
      </w:r>
      <w:r>
        <w:rPr>
          <w:rFonts w:hint="eastAsia" w:ascii="宋体" w:hAnsi="宋体"/>
          <w:bCs/>
          <w:szCs w:val="21"/>
        </w:rPr>
        <w:t>个工作日内向投资者返还理财本金及收益。</w:t>
      </w:r>
    </w:p>
    <w:p>
      <w:pPr>
        <w:rPr>
          <w:rFonts w:ascii="宋体" w:hAnsi="宋体"/>
          <w:bCs/>
          <w:szCs w:val="21"/>
        </w:rPr>
      </w:pPr>
    </w:p>
    <w:p>
      <w:pPr>
        <w:spacing w:before="120" w:beforeLines="50" w:line="240" w:lineRule="exact"/>
        <w:rPr>
          <w:rFonts w:ascii="黑体" w:eastAsia="黑体" w:cs="黑体"/>
          <w:b/>
          <w:kern w:val="0"/>
          <w:szCs w:val="21"/>
        </w:rPr>
      </w:pPr>
      <w:r>
        <w:rPr>
          <w:rFonts w:hint="eastAsia" w:ascii="黑体" w:eastAsia="黑体" w:cs="黑体"/>
          <w:b/>
          <w:kern w:val="0"/>
          <w:szCs w:val="21"/>
        </w:rPr>
        <w:t>六、理财产品</w:t>
      </w:r>
      <w:r>
        <w:rPr>
          <w:rFonts w:ascii="黑体" w:eastAsia="黑体" w:cs="黑体"/>
          <w:b/>
          <w:kern w:val="0"/>
          <w:szCs w:val="21"/>
        </w:rPr>
        <w:t>净值计算</w:t>
      </w:r>
    </w:p>
    <w:p>
      <w:pPr>
        <w:ind w:firstLine="420" w:firstLineChars="200"/>
        <w:rPr>
          <w:rFonts w:ascii="宋体" w:hAnsi="宋体"/>
          <w:bCs/>
          <w:szCs w:val="21"/>
        </w:rPr>
      </w:pPr>
      <w:r>
        <w:rPr>
          <w:rFonts w:hint="eastAsia" w:ascii="宋体" w:hAnsi="宋体"/>
          <w:bCs/>
          <w:szCs w:val="21"/>
        </w:rPr>
        <w:t>理财产品总净值为按照</w:t>
      </w:r>
      <w:r>
        <w:rPr>
          <w:rFonts w:ascii="宋体" w:hAnsi="宋体"/>
          <w:bCs/>
          <w:szCs w:val="21"/>
        </w:rPr>
        <w:t>本理财产品说明书约定的估值方法计算的理财产品资产</w:t>
      </w:r>
      <w:r>
        <w:rPr>
          <w:rFonts w:hint="eastAsia" w:ascii="宋体" w:hAnsi="宋体"/>
          <w:bCs/>
          <w:szCs w:val="21"/>
        </w:rPr>
        <w:t>价值</w:t>
      </w:r>
      <w:r>
        <w:rPr>
          <w:rFonts w:ascii="宋体" w:hAnsi="宋体"/>
          <w:bCs/>
          <w:szCs w:val="21"/>
        </w:rPr>
        <w:t>总额减去负债价值总额</w:t>
      </w:r>
      <w:r>
        <w:rPr>
          <w:rFonts w:hint="eastAsia" w:ascii="宋体" w:hAnsi="宋体"/>
          <w:bCs/>
          <w:szCs w:val="21"/>
        </w:rPr>
        <w:t>后</w:t>
      </w:r>
      <w:r>
        <w:rPr>
          <w:rFonts w:ascii="宋体" w:hAnsi="宋体"/>
          <w:bCs/>
          <w:szCs w:val="21"/>
        </w:rPr>
        <w:t>的价值。</w:t>
      </w:r>
    </w:p>
    <w:p>
      <w:pPr>
        <w:ind w:firstLine="420" w:firstLineChars="200"/>
        <w:rPr>
          <w:rFonts w:ascii="宋体" w:hAnsi="宋体"/>
          <w:bCs/>
          <w:szCs w:val="21"/>
        </w:rPr>
      </w:pPr>
      <w:r>
        <w:rPr>
          <w:rFonts w:hint="eastAsia" w:ascii="宋体" w:hAnsi="宋体"/>
          <w:bCs/>
          <w:szCs w:val="21"/>
        </w:rPr>
        <w:t>理财</w:t>
      </w:r>
      <w:r>
        <w:rPr>
          <w:rFonts w:ascii="宋体" w:hAnsi="宋体"/>
          <w:bCs/>
          <w:szCs w:val="21"/>
        </w:rPr>
        <w:t>产品单位净值=</w:t>
      </w:r>
      <w:r>
        <w:rPr>
          <w:rFonts w:hint="eastAsia" w:ascii="宋体" w:hAnsi="宋体"/>
          <w:bCs/>
          <w:szCs w:val="21"/>
        </w:rPr>
        <w:t>理财</w:t>
      </w:r>
      <w:r>
        <w:rPr>
          <w:rFonts w:ascii="宋体" w:hAnsi="宋体"/>
          <w:bCs/>
          <w:szCs w:val="21"/>
        </w:rPr>
        <w:t>产品总净值</w:t>
      </w:r>
      <w:r>
        <w:rPr>
          <w:rFonts w:hint="eastAsia" w:ascii="宋体" w:hAnsi="宋体"/>
          <w:bCs/>
          <w:szCs w:val="21"/>
        </w:rPr>
        <w:t>÷理财</w:t>
      </w:r>
      <w:r>
        <w:rPr>
          <w:rFonts w:ascii="宋体" w:hAnsi="宋体"/>
          <w:bCs/>
          <w:szCs w:val="21"/>
        </w:rPr>
        <w:t>产品</w:t>
      </w:r>
      <w:r>
        <w:rPr>
          <w:rFonts w:hint="eastAsia" w:ascii="宋体" w:hAnsi="宋体"/>
          <w:bCs/>
          <w:szCs w:val="21"/>
        </w:rPr>
        <w:t>总</w:t>
      </w:r>
      <w:r>
        <w:rPr>
          <w:rFonts w:ascii="宋体" w:hAnsi="宋体"/>
          <w:bCs/>
          <w:szCs w:val="21"/>
        </w:rPr>
        <w:t>存续份额</w:t>
      </w:r>
      <w:r>
        <w:rPr>
          <w:rFonts w:hint="eastAsia" w:ascii="宋体" w:hAnsi="宋体"/>
          <w:bCs/>
          <w:szCs w:val="21"/>
        </w:rPr>
        <w:t>。本产品所涉及</w:t>
      </w:r>
      <w:r>
        <w:rPr>
          <w:rFonts w:ascii="宋体" w:hAnsi="宋体"/>
          <w:bCs/>
          <w:szCs w:val="21"/>
        </w:rPr>
        <w:t>的单位净值</w:t>
      </w:r>
      <w:r>
        <w:rPr>
          <w:rFonts w:hint="eastAsia" w:ascii="宋体" w:hAnsi="宋体"/>
          <w:bCs/>
          <w:szCs w:val="21"/>
        </w:rPr>
        <w:t>保留</w:t>
      </w:r>
      <w:r>
        <w:rPr>
          <w:rFonts w:ascii="宋体" w:hAnsi="宋体"/>
          <w:bCs/>
          <w:szCs w:val="21"/>
        </w:rPr>
        <w:t>八位小数</w:t>
      </w:r>
      <w:r>
        <w:rPr>
          <w:rFonts w:hint="eastAsia" w:ascii="宋体" w:hAnsi="宋体"/>
          <w:bCs/>
          <w:szCs w:val="21"/>
        </w:rPr>
        <w:t>，保留</w:t>
      </w:r>
      <w:r>
        <w:rPr>
          <w:rFonts w:ascii="宋体" w:hAnsi="宋体"/>
          <w:bCs/>
          <w:szCs w:val="21"/>
        </w:rPr>
        <w:t>小数位后部分四舍五入</w:t>
      </w:r>
      <w:r>
        <w:rPr>
          <w:rFonts w:hint="eastAsia" w:ascii="宋体" w:hAnsi="宋体"/>
          <w:bCs/>
          <w:szCs w:val="21"/>
        </w:rPr>
        <w:t>，由此产生</w:t>
      </w:r>
      <w:r>
        <w:rPr>
          <w:rFonts w:ascii="宋体" w:hAnsi="宋体"/>
          <w:bCs/>
          <w:szCs w:val="21"/>
        </w:rPr>
        <w:t>的损益</w:t>
      </w:r>
      <w:r>
        <w:rPr>
          <w:rFonts w:hint="eastAsia" w:ascii="宋体" w:hAnsi="宋体"/>
          <w:bCs/>
          <w:szCs w:val="21"/>
        </w:rPr>
        <w:t>归入</w:t>
      </w:r>
      <w:r>
        <w:rPr>
          <w:rFonts w:ascii="宋体" w:hAnsi="宋体"/>
          <w:bCs/>
          <w:szCs w:val="21"/>
        </w:rPr>
        <w:t>理财资产</w:t>
      </w:r>
      <w:r>
        <w:rPr>
          <w:rFonts w:hint="eastAsia" w:ascii="宋体" w:hAnsi="宋体"/>
          <w:bCs/>
          <w:szCs w:val="21"/>
        </w:rPr>
        <w:t>。小数</w:t>
      </w:r>
      <w:r>
        <w:rPr>
          <w:rFonts w:ascii="宋体" w:hAnsi="宋体"/>
          <w:bCs/>
          <w:szCs w:val="21"/>
        </w:rPr>
        <w:t>保留位数由管理人根据实际情况确定。</w:t>
      </w:r>
    </w:p>
    <w:p>
      <w:pPr>
        <w:spacing w:line="240" w:lineRule="exact"/>
        <w:rPr>
          <w:rFonts w:ascii="黑体" w:eastAsia="黑体" w:cs="黑体"/>
          <w:b/>
          <w:kern w:val="0"/>
          <w:szCs w:val="21"/>
        </w:rPr>
      </w:pPr>
      <w:r>
        <w:rPr>
          <w:rFonts w:hint="eastAsia" w:ascii="黑体" w:eastAsia="黑体" w:cs="黑体"/>
          <w:b/>
          <w:kern w:val="0"/>
          <w:szCs w:val="21"/>
        </w:rPr>
        <w:t>七、理财产品</w:t>
      </w:r>
      <w:r>
        <w:rPr>
          <w:rFonts w:ascii="黑体" w:eastAsia="黑体" w:cs="黑体"/>
          <w:b/>
          <w:kern w:val="0"/>
          <w:szCs w:val="21"/>
        </w:rPr>
        <w:t>估值</w:t>
      </w:r>
    </w:p>
    <w:p>
      <w:pPr>
        <w:spacing w:line="240" w:lineRule="exact"/>
        <w:ind w:firstLine="435"/>
        <w:rPr>
          <w:rFonts w:ascii="黑体" w:eastAsia="黑体" w:cs="黑体"/>
          <w:b/>
          <w:kern w:val="0"/>
          <w:szCs w:val="21"/>
        </w:rPr>
      </w:pPr>
      <w:r>
        <w:rPr>
          <w:rFonts w:hint="eastAsia" w:ascii="黑体" w:eastAsia="黑体" w:cs="黑体"/>
          <w:b/>
          <w:kern w:val="0"/>
          <w:szCs w:val="21"/>
        </w:rPr>
        <w:t>1、估值对象</w:t>
      </w:r>
    </w:p>
    <w:p>
      <w:pPr>
        <w:ind w:firstLine="420" w:firstLineChars="200"/>
        <w:rPr>
          <w:rFonts w:ascii="宋体" w:hAnsi="宋体"/>
          <w:bCs/>
          <w:szCs w:val="21"/>
        </w:rPr>
      </w:pPr>
      <w:r>
        <w:rPr>
          <w:rFonts w:hint="eastAsia" w:ascii="宋体" w:hAnsi="宋体"/>
          <w:bCs/>
          <w:szCs w:val="21"/>
        </w:rPr>
        <w:t>本理财产品所有资产</w:t>
      </w:r>
      <w:r>
        <w:rPr>
          <w:rFonts w:ascii="宋体" w:hAnsi="宋体"/>
          <w:bCs/>
          <w:szCs w:val="21"/>
        </w:rPr>
        <w:t>和负债。</w:t>
      </w:r>
    </w:p>
    <w:p>
      <w:pPr>
        <w:spacing w:line="240" w:lineRule="exact"/>
        <w:ind w:firstLine="435"/>
        <w:rPr>
          <w:rFonts w:ascii="黑体" w:eastAsia="黑体" w:cs="黑体"/>
          <w:b/>
          <w:kern w:val="0"/>
          <w:szCs w:val="21"/>
        </w:rPr>
      </w:pPr>
      <w:r>
        <w:rPr>
          <w:rFonts w:hint="eastAsia" w:ascii="黑体" w:eastAsia="黑体" w:cs="黑体"/>
          <w:b/>
          <w:kern w:val="0"/>
          <w:szCs w:val="21"/>
        </w:rPr>
        <w:t>2、估值方法</w:t>
      </w:r>
    </w:p>
    <w:p>
      <w:pPr>
        <w:ind w:firstLine="420" w:firstLineChars="200"/>
        <w:rPr>
          <w:rFonts w:ascii="宋体" w:hAnsi="宋体"/>
          <w:bCs/>
          <w:szCs w:val="21"/>
        </w:rPr>
      </w:pPr>
      <w:r>
        <w:rPr>
          <w:rFonts w:hint="eastAsia" w:ascii="宋体" w:hAnsi="宋体"/>
          <w:bCs/>
          <w:szCs w:val="21"/>
        </w:rPr>
        <w:t>理财产品持有资产估计根据企业会计准则规定，按照公允价值计量，具体方法如下：</w:t>
      </w:r>
    </w:p>
    <w:p>
      <w:pPr>
        <w:ind w:firstLine="420" w:firstLineChars="200"/>
        <w:rPr>
          <w:rFonts w:ascii="宋体" w:hAnsi="宋体"/>
          <w:bCs/>
          <w:szCs w:val="21"/>
        </w:rPr>
      </w:pPr>
      <w:r>
        <w:rPr>
          <w:rFonts w:hint="eastAsia" w:ascii="宋体" w:hAnsi="宋体"/>
          <w:bCs/>
          <w:szCs w:val="21"/>
        </w:rPr>
        <w:t>（1）银行存款和金融机构同业借款以本金列示，按商定的利率在实际持有期间内逐日计提；</w:t>
      </w:r>
    </w:p>
    <w:p>
      <w:pPr>
        <w:ind w:firstLine="420" w:firstLineChars="200"/>
        <w:rPr>
          <w:rFonts w:ascii="宋体" w:hAnsi="宋体"/>
          <w:bCs/>
          <w:szCs w:val="21"/>
        </w:rPr>
      </w:pPr>
      <w:r>
        <w:rPr>
          <w:rFonts w:hint="eastAsia" w:ascii="宋体" w:hAnsi="宋体"/>
          <w:bCs/>
          <w:szCs w:val="21"/>
        </w:rPr>
        <w:t>（2）理财产品应坚持公允价值计量原则，符合会计准则和监管规定的范围内的可选择摊余成本法计量。</w:t>
      </w:r>
    </w:p>
    <w:p>
      <w:pPr>
        <w:ind w:firstLine="420" w:firstLineChars="200"/>
        <w:rPr>
          <w:rFonts w:ascii="宋体" w:hAnsi="宋体"/>
          <w:bCs/>
          <w:szCs w:val="21"/>
        </w:rPr>
      </w:pPr>
      <w:r>
        <w:rPr>
          <w:rFonts w:hint="eastAsia" w:ascii="宋体" w:hAnsi="宋体"/>
          <w:bCs/>
          <w:szCs w:val="21"/>
        </w:rPr>
        <w:t>①例如：投资以收取合同现金流量为目的并持有至到期，且债券到期日早于最近自动赎回日的债券，以及暂不具备活跃交易市场，或者在活跃市场中没有报价、也不能采用估值技术可靠计量公允价值的金融资产使用摊余成本法估值；</w:t>
      </w:r>
    </w:p>
    <w:p>
      <w:pPr>
        <w:ind w:firstLine="420" w:firstLineChars="200"/>
        <w:rPr>
          <w:rFonts w:ascii="宋体" w:hAnsi="宋体"/>
          <w:bCs/>
          <w:szCs w:val="21"/>
        </w:rPr>
      </w:pPr>
      <w:r>
        <w:rPr>
          <w:rFonts w:hint="eastAsia" w:ascii="宋体" w:hAnsi="宋体"/>
          <w:bCs/>
          <w:szCs w:val="21"/>
        </w:rPr>
        <w:t>②使用摊余成本法，估值对象以成本列示，按票面利率或协议利率并考虑其买入时的溢价与折价，在其剩余期限内按照实际利率法每日计提损益，满足条件使用摊余成本进行估值的债券应同时使用公允价值计算影子定价及偏离度；</w:t>
      </w:r>
    </w:p>
    <w:p>
      <w:pPr>
        <w:ind w:firstLine="420" w:firstLineChars="200"/>
        <w:rPr>
          <w:rFonts w:ascii="宋体" w:hAnsi="宋体"/>
          <w:bCs/>
          <w:szCs w:val="21"/>
        </w:rPr>
      </w:pPr>
      <w:r>
        <w:rPr>
          <w:rFonts w:hint="eastAsia" w:ascii="宋体" w:hAnsi="宋体"/>
          <w:bCs/>
          <w:szCs w:val="21"/>
        </w:rPr>
        <w:t>③由于按摊余成本法估值可能会出现被估值对象的公允价值和摊余成本价偏离，为消除或减少因产品资产净值的背离导致产品持有人权益的稀释或其他不公平的结果，在实际操作中，产品管理人可以对产品资产净值按公允价值法定期进行重新评估，即进行“影子定价”。当影子定价确定的产品资产净值与摊余成本法计算的产品资产净值的偏离度导致产品持有人权益的稀释或其他不公平的结果，产品管理人可根据风险控制的需要做相应调整。</w:t>
      </w:r>
    </w:p>
    <w:p>
      <w:pPr>
        <w:ind w:firstLine="420" w:firstLineChars="200"/>
        <w:rPr>
          <w:rFonts w:ascii="宋体" w:hAnsi="宋体"/>
          <w:bCs/>
          <w:szCs w:val="21"/>
        </w:rPr>
      </w:pPr>
      <w:r>
        <w:rPr>
          <w:rFonts w:hint="eastAsia" w:ascii="宋体" w:hAnsi="宋体"/>
          <w:bCs/>
          <w:szCs w:val="21"/>
        </w:rPr>
        <w:t>（3）基金产品以估值日前一交易日基金净值估值，估值日前一交易日净值未公布的，以此前最近一个交易日净值计算。</w:t>
      </w:r>
    </w:p>
    <w:p>
      <w:pPr>
        <w:ind w:firstLine="420" w:firstLineChars="200"/>
        <w:rPr>
          <w:rFonts w:ascii="宋体" w:hAnsi="宋体"/>
          <w:bCs/>
          <w:szCs w:val="21"/>
        </w:rPr>
      </w:pPr>
      <w:r>
        <w:rPr>
          <w:rFonts w:hint="eastAsia" w:ascii="宋体" w:hAnsi="宋体"/>
          <w:bCs/>
          <w:szCs w:val="21"/>
        </w:rPr>
        <w:t>（4）监管部门有最新规定的，按照最新规定进行估值。</w:t>
      </w:r>
    </w:p>
    <w:p>
      <w:pPr>
        <w:ind w:firstLine="420" w:firstLineChars="200"/>
        <w:rPr>
          <w:rFonts w:ascii="宋体" w:hAnsi="宋体"/>
          <w:bCs/>
          <w:szCs w:val="21"/>
        </w:rPr>
      </w:pPr>
      <w:r>
        <w:rPr>
          <w:rFonts w:hint="eastAsia" w:ascii="宋体" w:hAnsi="宋体"/>
          <w:bCs/>
          <w:szCs w:val="21"/>
        </w:rPr>
        <w:t>当本理财产品持有的一项或多项特定资产因发生实质性违约、存在预期违约或流动性缺失等原因，无法采用适当的估值技术进行估值或及时变现，产品管理人基于谨慎和充分保护不同时间参与本理财产品的投资者的利益、公平对待本产品投资人权益的原则，有权决定使用侧袋估值方法对本产品进行估值。</w:t>
      </w:r>
    </w:p>
    <w:p>
      <w:pPr>
        <w:spacing w:line="220" w:lineRule="exact"/>
        <w:ind w:firstLine="360"/>
        <w:rPr>
          <w:rFonts w:ascii="黑体" w:eastAsia="黑体" w:cs="黑体"/>
          <w:b/>
          <w:kern w:val="0"/>
          <w:szCs w:val="21"/>
        </w:rPr>
      </w:pPr>
      <w:r>
        <w:rPr>
          <w:rFonts w:hint="eastAsia" w:ascii="黑体" w:eastAsia="黑体" w:cs="黑体"/>
          <w:b/>
          <w:kern w:val="0"/>
          <w:szCs w:val="21"/>
        </w:rPr>
        <w:t>3、估值错误的处理</w:t>
      </w:r>
    </w:p>
    <w:p>
      <w:pPr>
        <w:ind w:firstLine="420" w:firstLineChars="200"/>
        <w:rPr>
          <w:rFonts w:ascii="宋体" w:hAnsi="宋体"/>
          <w:bCs/>
          <w:szCs w:val="21"/>
        </w:rPr>
      </w:pPr>
      <w:r>
        <w:rPr>
          <w:rFonts w:hint="eastAsia" w:ascii="宋体" w:hAnsi="宋体"/>
          <w:bCs/>
          <w:szCs w:val="21"/>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宋体" w:hAnsi="宋体"/>
          <w:b/>
          <w:bCs/>
          <w:szCs w:val="21"/>
        </w:rPr>
        <w:t>由于本产品估值所用的价格来源中出现错误，或由于其它不可抗力原因，产品管理人和产品托管人虽然已经采取必要、适当、合理的措施进行检查，但是未能发现该错误的，由此造成的产品资产估值错误，产品管理人和产品托管人可以免除赔偿责任。</w:t>
      </w:r>
      <w:r>
        <w:rPr>
          <w:rFonts w:hint="eastAsia" w:ascii="宋体" w:hAnsi="宋体"/>
          <w:bCs/>
          <w:szCs w:val="21"/>
        </w:rPr>
        <w:t>但产品管理人和产品托管人应当积极采取必要的措施消除由此造成的影响。</w:t>
      </w:r>
    </w:p>
    <w:p>
      <w:pPr>
        <w:spacing w:line="220" w:lineRule="exact"/>
        <w:ind w:firstLine="360"/>
        <w:rPr>
          <w:rFonts w:ascii="黑体" w:eastAsia="黑体" w:cs="黑体"/>
          <w:b/>
          <w:kern w:val="0"/>
          <w:szCs w:val="21"/>
        </w:rPr>
      </w:pPr>
      <w:r>
        <w:rPr>
          <w:rFonts w:hint="eastAsia" w:ascii="黑体" w:eastAsia="黑体" w:cs="黑体"/>
          <w:b/>
          <w:kern w:val="0"/>
          <w:szCs w:val="21"/>
        </w:rPr>
        <w:t>4、暂停估值</w:t>
      </w:r>
    </w:p>
    <w:p>
      <w:pPr>
        <w:ind w:firstLine="420" w:firstLineChars="200"/>
        <w:rPr>
          <w:rFonts w:ascii="宋体" w:hAnsi="宋体"/>
          <w:bCs/>
          <w:szCs w:val="21"/>
        </w:rPr>
      </w:pPr>
      <w:r>
        <w:rPr>
          <w:rFonts w:hint="eastAsia" w:ascii="宋体" w:hAnsi="宋体"/>
          <w:bCs/>
          <w:szCs w:val="21"/>
        </w:rPr>
        <w:t>（1）产品投资所涉及的交易场所遇法定假日或因其它原因暂停营业时；</w:t>
      </w:r>
    </w:p>
    <w:p>
      <w:pPr>
        <w:ind w:firstLine="420" w:firstLineChars="200"/>
        <w:rPr>
          <w:rFonts w:ascii="宋体" w:hAnsi="宋体"/>
          <w:bCs/>
          <w:szCs w:val="21"/>
        </w:rPr>
      </w:pPr>
      <w:r>
        <w:rPr>
          <w:rFonts w:hint="eastAsia" w:ascii="宋体" w:hAnsi="宋体"/>
          <w:bCs/>
          <w:szCs w:val="21"/>
        </w:rPr>
        <w:t>（2）当产品资产的估值因不可抗力或其它情形致使产品管理人、托管人无法准确评估产品资产价值时或中国银保监会认定的其它情形，产品管理人可暂停产品的估值直至另行通知。</w:t>
      </w:r>
    </w:p>
    <w:p>
      <w:pPr>
        <w:spacing w:line="220" w:lineRule="exact"/>
        <w:ind w:firstLine="360"/>
        <w:rPr>
          <w:rFonts w:ascii="黑体" w:eastAsia="黑体" w:cs="黑体"/>
          <w:b/>
          <w:kern w:val="0"/>
          <w:szCs w:val="21"/>
        </w:rPr>
      </w:pPr>
      <w:r>
        <w:rPr>
          <w:rFonts w:hint="eastAsia" w:ascii="黑体" w:eastAsia="黑体" w:cs="黑体"/>
          <w:b/>
          <w:kern w:val="0"/>
          <w:szCs w:val="21"/>
        </w:rPr>
        <w:t>5、估值方法调整</w:t>
      </w:r>
    </w:p>
    <w:p>
      <w:pPr>
        <w:ind w:firstLine="420" w:firstLineChars="200"/>
        <w:rPr>
          <w:rFonts w:ascii="宋体" w:hAnsi="宋体"/>
          <w:bCs/>
          <w:szCs w:val="21"/>
        </w:rPr>
      </w:pPr>
      <w:r>
        <w:rPr>
          <w:rFonts w:hint="eastAsia" w:ascii="宋体" w:hAnsi="宋体"/>
          <w:bCs/>
          <w:szCs w:val="21"/>
        </w:rPr>
        <w:t>如有确凿证据表明按上述内容不能客观反映资产价值的，产品管理人可根据具体情况，在与产品托管人商议后，按最能反映产品价值的方法估值。</w:t>
      </w:r>
    </w:p>
    <w:p>
      <w:pPr>
        <w:autoSpaceDE w:val="0"/>
        <w:autoSpaceDN w:val="0"/>
        <w:adjustRightInd w:val="0"/>
        <w:spacing w:before="120" w:line="220" w:lineRule="exact"/>
        <w:jc w:val="left"/>
        <w:rPr>
          <w:rFonts w:ascii="黑体" w:eastAsia="黑体" w:cs="黑体"/>
          <w:b/>
          <w:kern w:val="0"/>
          <w:szCs w:val="21"/>
        </w:rPr>
      </w:pPr>
      <w:r>
        <w:rPr>
          <w:rFonts w:hint="eastAsia" w:ascii="黑体" w:eastAsia="黑体" w:cs="黑体"/>
          <w:b/>
          <w:kern w:val="0"/>
          <w:szCs w:val="21"/>
        </w:rPr>
        <w:t>八、信息披露</w:t>
      </w:r>
    </w:p>
    <w:p>
      <w:pPr>
        <w:ind w:firstLine="420" w:firstLineChars="200"/>
        <w:rPr>
          <w:rFonts w:ascii="宋体" w:hAnsi="宋体"/>
          <w:bCs/>
          <w:szCs w:val="21"/>
        </w:rPr>
      </w:pPr>
      <w:r>
        <w:rPr>
          <w:rFonts w:hint="eastAsia" w:ascii="宋体" w:hAnsi="宋体"/>
          <w:bCs/>
          <w:szCs w:val="21"/>
        </w:rPr>
        <w:t>苏州农商银行通过官网（</w:t>
      </w:r>
      <w:r>
        <w:rPr>
          <w:rFonts w:ascii="宋体" w:hAnsi="宋体"/>
          <w:bCs/>
          <w:szCs w:val="21"/>
        </w:rPr>
        <w:t>www.sz</w:t>
      </w:r>
      <w:r>
        <w:rPr>
          <w:rFonts w:hint="eastAsia" w:ascii="宋体" w:hAnsi="宋体"/>
          <w:bCs/>
          <w:szCs w:val="21"/>
        </w:rPr>
        <w:t>rcb</w:t>
      </w:r>
      <w:r>
        <w:rPr>
          <w:rFonts w:ascii="宋体" w:hAnsi="宋体"/>
          <w:bCs/>
          <w:szCs w:val="21"/>
        </w:rPr>
        <w:t>.com</w:t>
      </w:r>
      <w:r>
        <w:rPr>
          <w:rFonts w:hint="eastAsia" w:ascii="宋体" w:hAnsi="宋体"/>
          <w:bCs/>
          <w:szCs w:val="21"/>
        </w:rPr>
        <w:t>）或银行认为</w:t>
      </w:r>
      <w:r>
        <w:rPr>
          <w:rFonts w:ascii="宋体" w:hAnsi="宋体"/>
          <w:bCs/>
          <w:szCs w:val="21"/>
        </w:rPr>
        <w:t>合理的其他方式</w:t>
      </w:r>
      <w:r>
        <w:rPr>
          <w:rFonts w:hint="eastAsia" w:ascii="宋体" w:hAnsi="宋体"/>
          <w:bCs/>
          <w:szCs w:val="21"/>
        </w:rPr>
        <w:t>发布产品信息，</w:t>
      </w:r>
      <w:r>
        <w:rPr>
          <w:rFonts w:hint="eastAsia" w:ascii="宋体" w:hAnsi="宋体"/>
          <w:b/>
          <w:bCs/>
          <w:szCs w:val="21"/>
        </w:rPr>
        <w:t>如果</w:t>
      </w:r>
      <w:r>
        <w:rPr>
          <w:rFonts w:ascii="宋体" w:hAnsi="宋体"/>
          <w:b/>
          <w:bCs/>
          <w:szCs w:val="21"/>
        </w:rPr>
        <w:t>投资者未及时查询，或</w:t>
      </w:r>
      <w:r>
        <w:rPr>
          <w:rFonts w:hint="eastAsia" w:ascii="宋体" w:hAnsi="宋体"/>
          <w:b/>
          <w:bCs/>
          <w:szCs w:val="21"/>
        </w:rPr>
        <w:t>由于通讯</w:t>
      </w:r>
      <w:r>
        <w:rPr>
          <w:rFonts w:ascii="宋体" w:hAnsi="宋体"/>
          <w:b/>
          <w:bCs/>
          <w:szCs w:val="21"/>
        </w:rPr>
        <w:t>故障、系统故障以及其他不可抗力等非银行过错原因的影响使得投资者无法及时了解产品信息，因此而产生的（包括不限于因未及时获知信息而错过资金使用、再投资机会和资金损失等）全部责任和风险，由投资</w:t>
      </w:r>
      <w:r>
        <w:rPr>
          <w:rFonts w:hint="eastAsia" w:ascii="宋体" w:hAnsi="宋体"/>
          <w:b/>
          <w:bCs/>
          <w:szCs w:val="21"/>
        </w:rPr>
        <w:t>者</w:t>
      </w:r>
      <w:r>
        <w:rPr>
          <w:rFonts w:ascii="宋体" w:hAnsi="宋体"/>
          <w:b/>
          <w:bCs/>
          <w:szCs w:val="21"/>
        </w:rPr>
        <w:t>自行承担。</w:t>
      </w:r>
    </w:p>
    <w:p>
      <w:pPr>
        <w:spacing w:line="240" w:lineRule="exact"/>
        <w:ind w:firstLine="435"/>
        <w:rPr>
          <w:rFonts w:ascii="宋体" w:hAnsi="宋体"/>
          <w:b/>
          <w:bCs/>
          <w:szCs w:val="21"/>
        </w:rPr>
      </w:pPr>
      <w:r>
        <w:rPr>
          <w:rFonts w:hint="eastAsia" w:ascii="宋体" w:hAnsi="宋体"/>
          <w:b/>
          <w:bCs/>
          <w:szCs w:val="21"/>
        </w:rPr>
        <w:t>1、产品募集信息披露</w:t>
      </w:r>
    </w:p>
    <w:p>
      <w:pPr>
        <w:spacing w:line="240" w:lineRule="exact"/>
        <w:ind w:firstLine="435"/>
        <w:rPr>
          <w:rFonts w:ascii="宋体" w:hAnsi="宋体"/>
          <w:bCs/>
          <w:szCs w:val="21"/>
        </w:rPr>
      </w:pPr>
      <w:r>
        <w:rPr>
          <w:rFonts w:hint="eastAsia" w:ascii="宋体" w:hAnsi="宋体"/>
          <w:bCs/>
          <w:szCs w:val="21"/>
        </w:rPr>
        <w:t>产品管理人在正式办理产品份额认购业务前</w:t>
      </w:r>
      <w:r>
        <w:rPr>
          <w:rFonts w:ascii="宋体" w:hAnsi="宋体"/>
          <w:bCs/>
          <w:szCs w:val="21"/>
        </w:rPr>
        <w:t>披露产品说明书</w:t>
      </w:r>
      <w:r>
        <w:rPr>
          <w:rFonts w:hint="eastAsia" w:ascii="宋体" w:hAnsi="宋体"/>
          <w:bCs/>
          <w:szCs w:val="21"/>
        </w:rPr>
        <w:t>、</w:t>
      </w:r>
      <w:r>
        <w:rPr>
          <w:rFonts w:ascii="宋体" w:hAnsi="宋体"/>
          <w:bCs/>
          <w:szCs w:val="21"/>
        </w:rPr>
        <w:t>风险揭示书、投资者权益须知等销售文件</w:t>
      </w:r>
      <w:r>
        <w:rPr>
          <w:rFonts w:hint="eastAsia" w:ascii="宋体" w:hAnsi="宋体"/>
          <w:bCs/>
          <w:szCs w:val="21"/>
        </w:rPr>
        <w:t>。</w:t>
      </w:r>
    </w:p>
    <w:p>
      <w:pPr>
        <w:spacing w:line="240" w:lineRule="exact"/>
        <w:ind w:firstLine="435"/>
        <w:rPr>
          <w:rFonts w:ascii="宋体" w:hAnsi="宋体"/>
          <w:b/>
          <w:bCs/>
          <w:szCs w:val="21"/>
        </w:rPr>
      </w:pPr>
      <w:r>
        <w:rPr>
          <w:rFonts w:hint="eastAsia" w:ascii="宋体" w:hAnsi="宋体"/>
          <w:b/>
          <w:bCs/>
          <w:szCs w:val="21"/>
        </w:rPr>
        <w:t>2、</w:t>
      </w:r>
      <w:r>
        <w:rPr>
          <w:rFonts w:ascii="宋体" w:hAnsi="宋体"/>
          <w:b/>
          <w:bCs/>
          <w:szCs w:val="21"/>
        </w:rPr>
        <w:t>产品</w:t>
      </w:r>
      <w:r>
        <w:rPr>
          <w:rFonts w:hint="eastAsia" w:ascii="宋体" w:hAnsi="宋体"/>
          <w:b/>
          <w:bCs/>
          <w:szCs w:val="21"/>
        </w:rPr>
        <w:t>成立</w:t>
      </w:r>
      <w:r>
        <w:rPr>
          <w:rFonts w:ascii="宋体" w:hAnsi="宋体"/>
          <w:b/>
          <w:bCs/>
          <w:szCs w:val="21"/>
        </w:rPr>
        <w:t>信息披露</w:t>
      </w:r>
    </w:p>
    <w:p>
      <w:pPr>
        <w:ind w:firstLine="420" w:firstLineChars="200"/>
        <w:rPr>
          <w:rFonts w:ascii="宋体" w:hAnsi="宋体"/>
          <w:bCs/>
          <w:szCs w:val="21"/>
        </w:rPr>
      </w:pPr>
      <w:r>
        <w:rPr>
          <w:rFonts w:hint="eastAsia" w:ascii="宋体" w:hAnsi="宋体"/>
          <w:bCs/>
          <w:szCs w:val="21"/>
        </w:rPr>
        <w:t>产品管理人将在产品成立后五个工作日内通过官网发布产品</w:t>
      </w:r>
      <w:r>
        <w:rPr>
          <w:rFonts w:ascii="宋体" w:hAnsi="宋体"/>
          <w:bCs/>
          <w:szCs w:val="21"/>
        </w:rPr>
        <w:t>成立公告</w:t>
      </w:r>
      <w:r>
        <w:rPr>
          <w:rFonts w:hint="eastAsia" w:ascii="宋体" w:hAnsi="宋体"/>
          <w:bCs/>
          <w:szCs w:val="21"/>
        </w:rPr>
        <w:t>。</w:t>
      </w:r>
    </w:p>
    <w:p>
      <w:pPr>
        <w:spacing w:line="240" w:lineRule="exact"/>
        <w:ind w:firstLine="435"/>
        <w:rPr>
          <w:rFonts w:ascii="宋体" w:hAnsi="宋体"/>
          <w:b/>
          <w:bCs/>
          <w:szCs w:val="21"/>
        </w:rPr>
      </w:pPr>
      <w:r>
        <w:rPr>
          <w:rFonts w:ascii="宋体" w:hAnsi="宋体"/>
          <w:b/>
          <w:bCs/>
          <w:szCs w:val="21"/>
        </w:rPr>
        <w:t>3</w:t>
      </w:r>
      <w:r>
        <w:rPr>
          <w:rFonts w:hint="eastAsia" w:ascii="宋体" w:hAnsi="宋体"/>
          <w:b/>
          <w:bCs/>
          <w:szCs w:val="21"/>
        </w:rPr>
        <w:t>、产品运作信息披露</w:t>
      </w:r>
    </w:p>
    <w:p>
      <w:pPr>
        <w:ind w:firstLine="420" w:firstLineChars="200"/>
        <w:rPr>
          <w:rFonts w:ascii="宋体" w:hAnsi="宋体"/>
          <w:bCs/>
          <w:szCs w:val="21"/>
        </w:rPr>
      </w:pPr>
      <w:r>
        <w:rPr>
          <w:rFonts w:hint="eastAsia" w:ascii="宋体" w:hAnsi="宋体"/>
          <w:bCs/>
          <w:szCs w:val="21"/>
        </w:rPr>
        <w:t>产品管理人将</w:t>
      </w:r>
      <w:r>
        <w:rPr>
          <w:rFonts w:ascii="宋体" w:hAnsi="宋体"/>
          <w:bCs/>
          <w:szCs w:val="21"/>
        </w:rPr>
        <w:t>于</w:t>
      </w:r>
      <w:r>
        <w:rPr>
          <w:rFonts w:ascii="宋体" w:hAnsi="宋体"/>
          <w:szCs w:val="21"/>
        </w:rPr>
        <w:t>每个</w:t>
      </w:r>
      <w:r>
        <w:rPr>
          <w:rFonts w:hint="eastAsia" w:ascii="宋体" w:hAnsi="宋体"/>
          <w:bCs/>
          <w:szCs w:val="21"/>
        </w:rPr>
        <w:t>申购</w:t>
      </w:r>
      <w:r>
        <w:rPr>
          <w:rFonts w:ascii="宋体" w:hAnsi="宋体"/>
          <w:bCs/>
          <w:szCs w:val="21"/>
        </w:rPr>
        <w:t>确认</w:t>
      </w:r>
      <w:r>
        <w:rPr>
          <w:rFonts w:hint="eastAsia" w:ascii="宋体" w:hAnsi="宋体"/>
          <w:bCs/>
          <w:szCs w:val="21"/>
        </w:rPr>
        <w:t>日</w:t>
      </w:r>
      <w:r>
        <w:rPr>
          <w:rFonts w:ascii="宋体" w:hAnsi="宋体"/>
          <w:bCs/>
          <w:szCs w:val="21"/>
        </w:rPr>
        <w:t>、</w:t>
      </w:r>
      <w:r>
        <w:rPr>
          <w:rFonts w:hint="eastAsia" w:ascii="宋体" w:hAnsi="宋体"/>
          <w:bCs/>
          <w:szCs w:val="21"/>
        </w:rPr>
        <w:t>份额赎回日</w:t>
      </w:r>
      <w:r>
        <w:rPr>
          <w:rFonts w:ascii="宋体" w:hAnsi="宋体"/>
          <w:bCs/>
          <w:szCs w:val="21"/>
        </w:rPr>
        <w:t>后</w:t>
      </w:r>
      <w:r>
        <w:rPr>
          <w:rFonts w:hint="eastAsia" w:ascii="宋体" w:hAnsi="宋体"/>
          <w:bCs/>
          <w:szCs w:val="21"/>
        </w:rPr>
        <w:t>五个</w:t>
      </w:r>
      <w:r>
        <w:rPr>
          <w:rFonts w:ascii="宋体" w:hAnsi="宋体"/>
          <w:bCs/>
          <w:szCs w:val="21"/>
        </w:rPr>
        <w:t>工作日</w:t>
      </w:r>
      <w:r>
        <w:rPr>
          <w:rFonts w:hint="eastAsia" w:ascii="宋体" w:hAnsi="宋体"/>
          <w:bCs/>
          <w:szCs w:val="21"/>
        </w:rPr>
        <w:t>内发布</w:t>
      </w:r>
      <w:r>
        <w:rPr>
          <w:rFonts w:ascii="宋体" w:hAnsi="宋体"/>
          <w:bCs/>
          <w:szCs w:val="21"/>
        </w:rPr>
        <w:t>申购确认、赎回兑付、产品净值等相关公告</w:t>
      </w:r>
      <w:r>
        <w:rPr>
          <w:rFonts w:hint="eastAsia" w:ascii="宋体" w:hAnsi="宋体"/>
          <w:bCs/>
          <w:szCs w:val="21"/>
        </w:rPr>
        <w:t>。</w:t>
      </w:r>
    </w:p>
    <w:p>
      <w:pPr>
        <w:ind w:firstLine="420" w:firstLineChars="200"/>
        <w:rPr>
          <w:rFonts w:ascii="宋体" w:hAnsi="宋体"/>
          <w:bCs/>
          <w:szCs w:val="21"/>
        </w:rPr>
      </w:pPr>
      <w:r>
        <w:rPr>
          <w:rFonts w:hint="eastAsia" w:ascii="宋体" w:hAnsi="宋体"/>
          <w:bCs/>
          <w:szCs w:val="21"/>
        </w:rPr>
        <w:t>产品管理人将在每季度结束之日起十五个工作日内，上半年结束之日起六十个工作日内、每年结束之日起九十个工作日内编制完成产品季度、半年和年度报告，向投资人披露投资状况、投资表现、风险状况等信息，逢半年末，半年报与当季季度报告可以进行合并；逢年末，年度报告与半年度报告可以进行合并。理财产品成立不足90个工作日或者剩余存续期不超过90个工作日的，产品管理人可以不编制理财产品当期的季度、半年和年度报告。</w:t>
      </w:r>
    </w:p>
    <w:p>
      <w:pPr>
        <w:spacing w:line="240" w:lineRule="exact"/>
        <w:ind w:firstLine="435"/>
        <w:rPr>
          <w:rFonts w:ascii="宋体" w:hAnsi="宋体"/>
          <w:b/>
          <w:bCs/>
          <w:szCs w:val="21"/>
        </w:rPr>
      </w:pPr>
      <w:r>
        <w:rPr>
          <w:rFonts w:hint="eastAsia" w:ascii="宋体" w:hAnsi="宋体"/>
          <w:b/>
          <w:bCs/>
          <w:szCs w:val="21"/>
        </w:rPr>
        <w:t>4、产品临时信息披露及重大事项披露</w:t>
      </w:r>
    </w:p>
    <w:p>
      <w:pPr>
        <w:ind w:firstLine="420" w:firstLineChars="200"/>
        <w:rPr>
          <w:rFonts w:ascii="宋体" w:hAnsi="宋体"/>
          <w:bCs/>
          <w:szCs w:val="21"/>
        </w:rPr>
      </w:pPr>
      <w:r>
        <w:rPr>
          <w:rFonts w:hint="eastAsia" w:ascii="宋体" w:hAnsi="宋体"/>
          <w:bCs/>
          <w:szCs w:val="21"/>
        </w:rPr>
        <w:t>本理财产品</w:t>
      </w:r>
      <w:r>
        <w:rPr>
          <w:rFonts w:ascii="宋体" w:hAnsi="宋体"/>
          <w:bCs/>
          <w:szCs w:val="21"/>
        </w:rPr>
        <w:t>在运作过程中若发生可能对理财产品</w:t>
      </w:r>
      <w:r>
        <w:rPr>
          <w:rFonts w:hint="eastAsia" w:ascii="宋体" w:hAnsi="宋体"/>
          <w:bCs/>
          <w:szCs w:val="21"/>
        </w:rPr>
        <w:t>投资者或者理财产品收益</w:t>
      </w:r>
      <w:r>
        <w:rPr>
          <w:rFonts w:ascii="宋体" w:hAnsi="宋体"/>
          <w:bCs/>
          <w:szCs w:val="21"/>
        </w:rPr>
        <w:t>产生重大影响的事项时，产品管理人</w:t>
      </w:r>
      <w:r>
        <w:rPr>
          <w:rFonts w:hint="eastAsia" w:ascii="宋体" w:hAnsi="宋体"/>
          <w:bCs/>
          <w:szCs w:val="21"/>
        </w:rPr>
        <w:t>将按照法律、法规及中国银保监会的有关规定及时披露。</w:t>
      </w:r>
    </w:p>
    <w:p>
      <w:pPr>
        <w:spacing w:line="240" w:lineRule="exact"/>
        <w:ind w:firstLine="435"/>
        <w:rPr>
          <w:rFonts w:ascii="宋体" w:hAnsi="宋体"/>
          <w:b/>
          <w:bCs/>
          <w:szCs w:val="21"/>
        </w:rPr>
      </w:pPr>
      <w:r>
        <w:rPr>
          <w:rFonts w:hint="eastAsia" w:ascii="宋体" w:hAnsi="宋体"/>
          <w:b/>
          <w:bCs/>
          <w:szCs w:val="21"/>
        </w:rPr>
        <w:t>5、产品终止信息披露</w:t>
      </w:r>
    </w:p>
    <w:p>
      <w:pPr>
        <w:ind w:firstLine="420" w:firstLineChars="200"/>
        <w:rPr>
          <w:rFonts w:ascii="宋体" w:hAnsi="宋体"/>
          <w:bCs/>
          <w:szCs w:val="21"/>
        </w:rPr>
      </w:pPr>
      <w:r>
        <w:rPr>
          <w:rFonts w:hint="eastAsia" w:ascii="宋体" w:hAnsi="宋体"/>
          <w:bCs/>
          <w:szCs w:val="21"/>
        </w:rPr>
        <w:t>本产品终止后，产品管理人将在终止后五个工作日内发布终止公告，披露包括理财产品的存续期限、终止日期、收费情况和收益分配情况等信息。</w:t>
      </w:r>
    </w:p>
    <w:p>
      <w:pPr>
        <w:autoSpaceDE w:val="0"/>
        <w:autoSpaceDN w:val="0"/>
        <w:adjustRightInd w:val="0"/>
        <w:spacing w:before="120" w:line="220" w:lineRule="exact"/>
        <w:jc w:val="left"/>
        <w:rPr>
          <w:rFonts w:ascii="黑体" w:eastAsia="黑体" w:cs="黑体"/>
          <w:b/>
          <w:kern w:val="0"/>
          <w:szCs w:val="21"/>
        </w:rPr>
      </w:pPr>
      <w:r>
        <w:rPr>
          <w:rFonts w:hint="eastAsia" w:ascii="黑体" w:eastAsia="黑体" w:cs="黑体"/>
          <w:b/>
          <w:kern w:val="0"/>
          <w:szCs w:val="21"/>
        </w:rPr>
        <w:t>九、特别说明</w:t>
      </w:r>
    </w:p>
    <w:p>
      <w:pPr>
        <w:ind w:left="2" w:leftChars="1" w:firstLine="422" w:firstLineChars="200"/>
        <w:rPr>
          <w:rFonts w:ascii="宋体" w:hAnsi="宋体"/>
          <w:b/>
          <w:bCs/>
          <w:szCs w:val="21"/>
        </w:rPr>
      </w:pPr>
      <w:r>
        <w:rPr>
          <w:rFonts w:hint="eastAsia" w:ascii="宋体" w:hAnsi="宋体"/>
          <w:b/>
          <w:bCs/>
          <w:szCs w:val="21"/>
        </w:rPr>
        <w:t>1、投资者保证资金来源合法,系其合法拥有，其投资本产品已得到相关的授权、决议或审批，且不违反任何法律、法规、监管规定及公司章程的规定。</w:t>
      </w:r>
    </w:p>
    <w:p>
      <w:pPr>
        <w:ind w:left="2" w:leftChars="1" w:firstLine="422" w:firstLineChars="200"/>
        <w:rPr>
          <w:rFonts w:ascii="宋体" w:hAnsi="宋体"/>
          <w:b/>
          <w:bCs/>
          <w:szCs w:val="21"/>
        </w:rPr>
      </w:pPr>
      <w:r>
        <w:rPr>
          <w:rFonts w:hint="eastAsia" w:ascii="宋体" w:hAnsi="宋体"/>
          <w:b/>
          <w:bCs/>
          <w:szCs w:val="21"/>
        </w:rPr>
        <w:t>2、投资者同意签署《理财产品销售协议书》后，苏州农商银行有权在募集期或工作日从约定的账户扣收投资者的投资本金。</w:t>
      </w:r>
    </w:p>
    <w:p>
      <w:pPr>
        <w:ind w:left="2" w:leftChars="1" w:firstLine="422" w:firstLineChars="200"/>
        <w:rPr>
          <w:rFonts w:ascii="宋体" w:hAnsi="宋体"/>
          <w:b/>
          <w:bCs/>
          <w:szCs w:val="21"/>
        </w:rPr>
      </w:pPr>
      <w:r>
        <w:rPr>
          <w:rFonts w:hint="eastAsia" w:ascii="宋体" w:hAnsi="宋体"/>
          <w:b/>
          <w:bCs/>
          <w:szCs w:val="21"/>
        </w:rPr>
        <w:t>3、投资者授权产品管理人依据法律、法规向银行业理财登记托管中心及有权国家机关、监管部门报送投资者基本信息和持有理财产品信息。除法律、法规要求外，产品管理人不得向其他第三方提供投资者基本信息和持有理财产品信息。</w:t>
      </w:r>
    </w:p>
    <w:p>
      <w:pPr>
        <w:ind w:left="2" w:leftChars="1" w:firstLine="420" w:firstLineChars="200"/>
        <w:jc w:val="right"/>
        <w:rPr>
          <w:sz w:val="24"/>
        </w:rPr>
      </w:pPr>
      <w:r>
        <w:rPr>
          <w:rFonts w:hint="eastAsia" w:ascii="宋体" w:hAnsi="宋体"/>
          <w:bCs/>
          <w:szCs w:val="21"/>
        </w:rPr>
        <w:t>江苏苏州农村商业银行股份有限公司</w:t>
      </w:r>
    </w:p>
    <w:p>
      <w:pPr>
        <w:sectPr>
          <w:pgSz w:w="11906" w:h="16838"/>
          <w:pgMar w:top="720" w:right="720" w:bottom="720" w:left="720" w:header="851" w:footer="992" w:gutter="0"/>
          <w:cols w:space="425" w:num="1"/>
          <w:docGrid w:linePitch="312" w:charSpace="0"/>
        </w:sectPr>
      </w:pPr>
    </w:p>
    <w:p/>
    <w:p/>
    <w:p/>
    <w:p/>
    <w:p/>
    <w:p/>
    <w:sectPr>
      <w:type w:val="continuous"/>
      <w:pgSz w:w="11906" w:h="16838"/>
      <w:pgMar w:top="720" w:right="720" w:bottom="720" w:left="72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YaHei_PDF_Subset">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261C29"/>
    <w:multiLevelType w:val="multilevel"/>
    <w:tmpl w:val="41261C29"/>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70A"/>
    <w:rsid w:val="00000150"/>
    <w:rsid w:val="00000551"/>
    <w:rsid w:val="0000268D"/>
    <w:rsid w:val="000045D8"/>
    <w:rsid w:val="00005EDC"/>
    <w:rsid w:val="00005EF6"/>
    <w:rsid w:val="000072DF"/>
    <w:rsid w:val="00007CDC"/>
    <w:rsid w:val="000135DF"/>
    <w:rsid w:val="00015977"/>
    <w:rsid w:val="00016DE3"/>
    <w:rsid w:val="00017B57"/>
    <w:rsid w:val="00021AB5"/>
    <w:rsid w:val="000221FF"/>
    <w:rsid w:val="00023C13"/>
    <w:rsid w:val="000266DA"/>
    <w:rsid w:val="00030249"/>
    <w:rsid w:val="00030304"/>
    <w:rsid w:val="000350CF"/>
    <w:rsid w:val="000352C2"/>
    <w:rsid w:val="00040379"/>
    <w:rsid w:val="00041139"/>
    <w:rsid w:val="000414FD"/>
    <w:rsid w:val="00041647"/>
    <w:rsid w:val="00041D65"/>
    <w:rsid w:val="0004497D"/>
    <w:rsid w:val="00044D2E"/>
    <w:rsid w:val="00045A54"/>
    <w:rsid w:val="00045CDD"/>
    <w:rsid w:val="00045D1B"/>
    <w:rsid w:val="00046FDD"/>
    <w:rsid w:val="000503A3"/>
    <w:rsid w:val="0005064C"/>
    <w:rsid w:val="0005143A"/>
    <w:rsid w:val="00052E68"/>
    <w:rsid w:val="000540FD"/>
    <w:rsid w:val="000542EC"/>
    <w:rsid w:val="00054D44"/>
    <w:rsid w:val="00056373"/>
    <w:rsid w:val="00061D2E"/>
    <w:rsid w:val="00062A33"/>
    <w:rsid w:val="000635E1"/>
    <w:rsid w:val="00063C38"/>
    <w:rsid w:val="00064E4A"/>
    <w:rsid w:val="0006571C"/>
    <w:rsid w:val="00065BF5"/>
    <w:rsid w:val="00065E15"/>
    <w:rsid w:val="00066215"/>
    <w:rsid w:val="00066DDC"/>
    <w:rsid w:val="0006715F"/>
    <w:rsid w:val="0006748B"/>
    <w:rsid w:val="00070A4A"/>
    <w:rsid w:val="00071B93"/>
    <w:rsid w:val="000722E1"/>
    <w:rsid w:val="00072367"/>
    <w:rsid w:val="000746A8"/>
    <w:rsid w:val="00074AEB"/>
    <w:rsid w:val="00074BD8"/>
    <w:rsid w:val="00077F9E"/>
    <w:rsid w:val="00080BBE"/>
    <w:rsid w:val="000819A0"/>
    <w:rsid w:val="00081F80"/>
    <w:rsid w:val="000820AB"/>
    <w:rsid w:val="000834AA"/>
    <w:rsid w:val="000839D1"/>
    <w:rsid w:val="0008479B"/>
    <w:rsid w:val="000858F7"/>
    <w:rsid w:val="000868EB"/>
    <w:rsid w:val="000876D8"/>
    <w:rsid w:val="00087EC8"/>
    <w:rsid w:val="000905E5"/>
    <w:rsid w:val="00091514"/>
    <w:rsid w:val="000924D7"/>
    <w:rsid w:val="00093A25"/>
    <w:rsid w:val="000961F5"/>
    <w:rsid w:val="00097727"/>
    <w:rsid w:val="000A0547"/>
    <w:rsid w:val="000A132F"/>
    <w:rsid w:val="000A1FA5"/>
    <w:rsid w:val="000A301B"/>
    <w:rsid w:val="000A48BD"/>
    <w:rsid w:val="000A4B42"/>
    <w:rsid w:val="000A4CA8"/>
    <w:rsid w:val="000A5ADD"/>
    <w:rsid w:val="000A6F41"/>
    <w:rsid w:val="000B0344"/>
    <w:rsid w:val="000B2C0F"/>
    <w:rsid w:val="000B34CD"/>
    <w:rsid w:val="000B4B7C"/>
    <w:rsid w:val="000C090A"/>
    <w:rsid w:val="000C11B1"/>
    <w:rsid w:val="000C22F0"/>
    <w:rsid w:val="000C4B60"/>
    <w:rsid w:val="000C4B6F"/>
    <w:rsid w:val="000C5B1D"/>
    <w:rsid w:val="000C619B"/>
    <w:rsid w:val="000C6D91"/>
    <w:rsid w:val="000C7380"/>
    <w:rsid w:val="000D0D34"/>
    <w:rsid w:val="000D4004"/>
    <w:rsid w:val="000D47C6"/>
    <w:rsid w:val="000D4969"/>
    <w:rsid w:val="000D4DCE"/>
    <w:rsid w:val="000D5B93"/>
    <w:rsid w:val="000E33B9"/>
    <w:rsid w:val="000E3A54"/>
    <w:rsid w:val="000E3EA3"/>
    <w:rsid w:val="000E4B93"/>
    <w:rsid w:val="000E4E57"/>
    <w:rsid w:val="000E5325"/>
    <w:rsid w:val="000E7DF4"/>
    <w:rsid w:val="000E7FFB"/>
    <w:rsid w:val="000F1275"/>
    <w:rsid w:val="000F1501"/>
    <w:rsid w:val="000F1B38"/>
    <w:rsid w:val="000F317C"/>
    <w:rsid w:val="000F4EBF"/>
    <w:rsid w:val="000F4F8D"/>
    <w:rsid w:val="000F5410"/>
    <w:rsid w:val="000F5564"/>
    <w:rsid w:val="000F59F7"/>
    <w:rsid w:val="000F61F5"/>
    <w:rsid w:val="000F75EB"/>
    <w:rsid w:val="0010004F"/>
    <w:rsid w:val="00101841"/>
    <w:rsid w:val="001040BC"/>
    <w:rsid w:val="0010731A"/>
    <w:rsid w:val="0011072A"/>
    <w:rsid w:val="00111FF5"/>
    <w:rsid w:val="00112087"/>
    <w:rsid w:val="00113481"/>
    <w:rsid w:val="001138CC"/>
    <w:rsid w:val="00114487"/>
    <w:rsid w:val="00115D0D"/>
    <w:rsid w:val="00116E0B"/>
    <w:rsid w:val="00116ECA"/>
    <w:rsid w:val="00117E5D"/>
    <w:rsid w:val="00122C7C"/>
    <w:rsid w:val="00123571"/>
    <w:rsid w:val="00123F0B"/>
    <w:rsid w:val="00124B6D"/>
    <w:rsid w:val="00124BE1"/>
    <w:rsid w:val="00125108"/>
    <w:rsid w:val="00125FAC"/>
    <w:rsid w:val="001264BA"/>
    <w:rsid w:val="001267C4"/>
    <w:rsid w:val="00126C51"/>
    <w:rsid w:val="001317EE"/>
    <w:rsid w:val="00133440"/>
    <w:rsid w:val="00134B8A"/>
    <w:rsid w:val="001359B9"/>
    <w:rsid w:val="00143079"/>
    <w:rsid w:val="00143C6E"/>
    <w:rsid w:val="0014432C"/>
    <w:rsid w:val="00145F4E"/>
    <w:rsid w:val="00146CCF"/>
    <w:rsid w:val="00150238"/>
    <w:rsid w:val="001503AC"/>
    <w:rsid w:val="00150B3D"/>
    <w:rsid w:val="00150D8A"/>
    <w:rsid w:val="00153A59"/>
    <w:rsid w:val="00155B65"/>
    <w:rsid w:val="00156DEA"/>
    <w:rsid w:val="001571AF"/>
    <w:rsid w:val="00161D3D"/>
    <w:rsid w:val="00163633"/>
    <w:rsid w:val="00163947"/>
    <w:rsid w:val="00164322"/>
    <w:rsid w:val="00164F79"/>
    <w:rsid w:val="00165338"/>
    <w:rsid w:val="00165430"/>
    <w:rsid w:val="00165A6A"/>
    <w:rsid w:val="00165FA3"/>
    <w:rsid w:val="001660CA"/>
    <w:rsid w:val="00166D4D"/>
    <w:rsid w:val="0016732F"/>
    <w:rsid w:val="001675CB"/>
    <w:rsid w:val="00170EF2"/>
    <w:rsid w:val="00172006"/>
    <w:rsid w:val="00174EEC"/>
    <w:rsid w:val="00174FF3"/>
    <w:rsid w:val="00175CB0"/>
    <w:rsid w:val="001760EF"/>
    <w:rsid w:val="00176264"/>
    <w:rsid w:val="00176955"/>
    <w:rsid w:val="001808B6"/>
    <w:rsid w:val="00180B6C"/>
    <w:rsid w:val="00180EFF"/>
    <w:rsid w:val="00181B56"/>
    <w:rsid w:val="00182809"/>
    <w:rsid w:val="001834FB"/>
    <w:rsid w:val="001837B3"/>
    <w:rsid w:val="00187985"/>
    <w:rsid w:val="00190343"/>
    <w:rsid w:val="00191AB5"/>
    <w:rsid w:val="00191DAE"/>
    <w:rsid w:val="00191E8A"/>
    <w:rsid w:val="00192B2F"/>
    <w:rsid w:val="001953A0"/>
    <w:rsid w:val="00195F8E"/>
    <w:rsid w:val="00195FBA"/>
    <w:rsid w:val="00196916"/>
    <w:rsid w:val="001A0291"/>
    <w:rsid w:val="001A21F8"/>
    <w:rsid w:val="001A2AA3"/>
    <w:rsid w:val="001A3151"/>
    <w:rsid w:val="001A3278"/>
    <w:rsid w:val="001A5022"/>
    <w:rsid w:val="001B07A7"/>
    <w:rsid w:val="001B2694"/>
    <w:rsid w:val="001B3B16"/>
    <w:rsid w:val="001B7C2E"/>
    <w:rsid w:val="001C2456"/>
    <w:rsid w:val="001C3467"/>
    <w:rsid w:val="001C3B55"/>
    <w:rsid w:val="001C3F56"/>
    <w:rsid w:val="001D0287"/>
    <w:rsid w:val="001D5419"/>
    <w:rsid w:val="001D644C"/>
    <w:rsid w:val="001D6BAC"/>
    <w:rsid w:val="001D7C5A"/>
    <w:rsid w:val="001D7FBE"/>
    <w:rsid w:val="001E10DE"/>
    <w:rsid w:val="001E1915"/>
    <w:rsid w:val="001E342A"/>
    <w:rsid w:val="001E39AA"/>
    <w:rsid w:val="001E439C"/>
    <w:rsid w:val="001E44B7"/>
    <w:rsid w:val="001E4DDC"/>
    <w:rsid w:val="001E5394"/>
    <w:rsid w:val="001E5432"/>
    <w:rsid w:val="001E7155"/>
    <w:rsid w:val="001E77FC"/>
    <w:rsid w:val="001F2A8C"/>
    <w:rsid w:val="001F4E3C"/>
    <w:rsid w:val="001F608A"/>
    <w:rsid w:val="001F60AA"/>
    <w:rsid w:val="001F7953"/>
    <w:rsid w:val="002002B2"/>
    <w:rsid w:val="002007A2"/>
    <w:rsid w:val="0020216B"/>
    <w:rsid w:val="00204789"/>
    <w:rsid w:val="00204872"/>
    <w:rsid w:val="00204B01"/>
    <w:rsid w:val="002055F8"/>
    <w:rsid w:val="0020656F"/>
    <w:rsid w:val="002107EC"/>
    <w:rsid w:val="0021334C"/>
    <w:rsid w:val="0022080F"/>
    <w:rsid w:val="002216F1"/>
    <w:rsid w:val="00223E99"/>
    <w:rsid w:val="00223EAB"/>
    <w:rsid w:val="00226999"/>
    <w:rsid w:val="0022750F"/>
    <w:rsid w:val="00227A29"/>
    <w:rsid w:val="00230128"/>
    <w:rsid w:val="0023071C"/>
    <w:rsid w:val="002311A1"/>
    <w:rsid w:val="00231673"/>
    <w:rsid w:val="0023216D"/>
    <w:rsid w:val="00232578"/>
    <w:rsid w:val="00234852"/>
    <w:rsid w:val="0023609E"/>
    <w:rsid w:val="00236947"/>
    <w:rsid w:val="00240D23"/>
    <w:rsid w:val="00240EBC"/>
    <w:rsid w:val="00241A8E"/>
    <w:rsid w:val="00242176"/>
    <w:rsid w:val="00243941"/>
    <w:rsid w:val="002450B0"/>
    <w:rsid w:val="002476FA"/>
    <w:rsid w:val="00247F50"/>
    <w:rsid w:val="002505B1"/>
    <w:rsid w:val="00250C15"/>
    <w:rsid w:val="00251157"/>
    <w:rsid w:val="00254F2C"/>
    <w:rsid w:val="00255620"/>
    <w:rsid w:val="00256E08"/>
    <w:rsid w:val="00257571"/>
    <w:rsid w:val="002604EF"/>
    <w:rsid w:val="00260AFC"/>
    <w:rsid w:val="0026174E"/>
    <w:rsid w:val="00263CE3"/>
    <w:rsid w:val="0026463C"/>
    <w:rsid w:val="0026707A"/>
    <w:rsid w:val="00267317"/>
    <w:rsid w:val="0027024E"/>
    <w:rsid w:val="00270302"/>
    <w:rsid w:val="00270FEE"/>
    <w:rsid w:val="00272291"/>
    <w:rsid w:val="00272DCB"/>
    <w:rsid w:val="00273575"/>
    <w:rsid w:val="00273E4F"/>
    <w:rsid w:val="00276873"/>
    <w:rsid w:val="002772CA"/>
    <w:rsid w:val="002804D9"/>
    <w:rsid w:val="00280B3D"/>
    <w:rsid w:val="00281208"/>
    <w:rsid w:val="0028257F"/>
    <w:rsid w:val="002828B9"/>
    <w:rsid w:val="0028431A"/>
    <w:rsid w:val="00287060"/>
    <w:rsid w:val="0028784A"/>
    <w:rsid w:val="00293E17"/>
    <w:rsid w:val="00294332"/>
    <w:rsid w:val="00296FB4"/>
    <w:rsid w:val="0029769E"/>
    <w:rsid w:val="002A3543"/>
    <w:rsid w:val="002A365A"/>
    <w:rsid w:val="002A391B"/>
    <w:rsid w:val="002A3F88"/>
    <w:rsid w:val="002A6331"/>
    <w:rsid w:val="002A7800"/>
    <w:rsid w:val="002B0C77"/>
    <w:rsid w:val="002B1999"/>
    <w:rsid w:val="002B25C9"/>
    <w:rsid w:val="002B2622"/>
    <w:rsid w:val="002B2DA7"/>
    <w:rsid w:val="002B3E8C"/>
    <w:rsid w:val="002B6005"/>
    <w:rsid w:val="002B7189"/>
    <w:rsid w:val="002B7568"/>
    <w:rsid w:val="002C4A4C"/>
    <w:rsid w:val="002C6796"/>
    <w:rsid w:val="002C6A36"/>
    <w:rsid w:val="002C6D90"/>
    <w:rsid w:val="002C7952"/>
    <w:rsid w:val="002D031E"/>
    <w:rsid w:val="002D1471"/>
    <w:rsid w:val="002D3094"/>
    <w:rsid w:val="002D579F"/>
    <w:rsid w:val="002D5BEC"/>
    <w:rsid w:val="002D7547"/>
    <w:rsid w:val="002E0EBF"/>
    <w:rsid w:val="002E128F"/>
    <w:rsid w:val="002E253C"/>
    <w:rsid w:val="002E2B3A"/>
    <w:rsid w:val="002E6C77"/>
    <w:rsid w:val="002F0AA3"/>
    <w:rsid w:val="002F119D"/>
    <w:rsid w:val="002F6430"/>
    <w:rsid w:val="002F6A78"/>
    <w:rsid w:val="002F6DDE"/>
    <w:rsid w:val="002F75AD"/>
    <w:rsid w:val="00302075"/>
    <w:rsid w:val="003031AB"/>
    <w:rsid w:val="0030453E"/>
    <w:rsid w:val="00310F51"/>
    <w:rsid w:val="0032097F"/>
    <w:rsid w:val="003234EA"/>
    <w:rsid w:val="00323A20"/>
    <w:rsid w:val="00324208"/>
    <w:rsid w:val="00327006"/>
    <w:rsid w:val="0033031A"/>
    <w:rsid w:val="003322C9"/>
    <w:rsid w:val="003407F6"/>
    <w:rsid w:val="003418B4"/>
    <w:rsid w:val="00341911"/>
    <w:rsid w:val="00342086"/>
    <w:rsid w:val="00342243"/>
    <w:rsid w:val="00342448"/>
    <w:rsid w:val="00343A77"/>
    <w:rsid w:val="00343C10"/>
    <w:rsid w:val="00344A9D"/>
    <w:rsid w:val="00345818"/>
    <w:rsid w:val="0034630A"/>
    <w:rsid w:val="00347D22"/>
    <w:rsid w:val="003511C3"/>
    <w:rsid w:val="00351345"/>
    <w:rsid w:val="00353862"/>
    <w:rsid w:val="00353DA6"/>
    <w:rsid w:val="003619EE"/>
    <w:rsid w:val="00361ECF"/>
    <w:rsid w:val="00362F79"/>
    <w:rsid w:val="00363504"/>
    <w:rsid w:val="0036391D"/>
    <w:rsid w:val="00364E58"/>
    <w:rsid w:val="00365970"/>
    <w:rsid w:val="0036602C"/>
    <w:rsid w:val="00366A3A"/>
    <w:rsid w:val="00367090"/>
    <w:rsid w:val="0036758C"/>
    <w:rsid w:val="00367FC9"/>
    <w:rsid w:val="003712B8"/>
    <w:rsid w:val="00371E7E"/>
    <w:rsid w:val="00372AC5"/>
    <w:rsid w:val="003736C6"/>
    <w:rsid w:val="0037678F"/>
    <w:rsid w:val="00376B50"/>
    <w:rsid w:val="0037747F"/>
    <w:rsid w:val="00377961"/>
    <w:rsid w:val="003779C4"/>
    <w:rsid w:val="0038037A"/>
    <w:rsid w:val="00382177"/>
    <w:rsid w:val="00382796"/>
    <w:rsid w:val="00383AD3"/>
    <w:rsid w:val="003879BF"/>
    <w:rsid w:val="00387E00"/>
    <w:rsid w:val="0039043F"/>
    <w:rsid w:val="003923DB"/>
    <w:rsid w:val="00394149"/>
    <w:rsid w:val="00394E54"/>
    <w:rsid w:val="003950FD"/>
    <w:rsid w:val="0039572C"/>
    <w:rsid w:val="00396CED"/>
    <w:rsid w:val="00397326"/>
    <w:rsid w:val="003A0258"/>
    <w:rsid w:val="003A0279"/>
    <w:rsid w:val="003A1AEA"/>
    <w:rsid w:val="003A432F"/>
    <w:rsid w:val="003A6BE8"/>
    <w:rsid w:val="003B060D"/>
    <w:rsid w:val="003B1323"/>
    <w:rsid w:val="003B269F"/>
    <w:rsid w:val="003B664B"/>
    <w:rsid w:val="003C217E"/>
    <w:rsid w:val="003C2A93"/>
    <w:rsid w:val="003C2CA5"/>
    <w:rsid w:val="003C3D99"/>
    <w:rsid w:val="003C4440"/>
    <w:rsid w:val="003C63FF"/>
    <w:rsid w:val="003C668D"/>
    <w:rsid w:val="003C7791"/>
    <w:rsid w:val="003D36DE"/>
    <w:rsid w:val="003D5BE1"/>
    <w:rsid w:val="003D7B0C"/>
    <w:rsid w:val="003E046C"/>
    <w:rsid w:val="003E0DEB"/>
    <w:rsid w:val="003E25C6"/>
    <w:rsid w:val="003E3074"/>
    <w:rsid w:val="003E332C"/>
    <w:rsid w:val="003E37B7"/>
    <w:rsid w:val="003E4A5D"/>
    <w:rsid w:val="003E561A"/>
    <w:rsid w:val="003E6172"/>
    <w:rsid w:val="003E6753"/>
    <w:rsid w:val="003E6BFC"/>
    <w:rsid w:val="003E7D66"/>
    <w:rsid w:val="003F0397"/>
    <w:rsid w:val="003F22A7"/>
    <w:rsid w:val="003F2CE9"/>
    <w:rsid w:val="003F5235"/>
    <w:rsid w:val="004010E2"/>
    <w:rsid w:val="004033EC"/>
    <w:rsid w:val="004035CB"/>
    <w:rsid w:val="00404991"/>
    <w:rsid w:val="0040643A"/>
    <w:rsid w:val="004070C5"/>
    <w:rsid w:val="0041072F"/>
    <w:rsid w:val="0041197A"/>
    <w:rsid w:val="00416595"/>
    <w:rsid w:val="00423DEA"/>
    <w:rsid w:val="00425C80"/>
    <w:rsid w:val="004269ED"/>
    <w:rsid w:val="00427C5F"/>
    <w:rsid w:val="00427E0E"/>
    <w:rsid w:val="0043000F"/>
    <w:rsid w:val="00430E74"/>
    <w:rsid w:val="00430FAD"/>
    <w:rsid w:val="00431BAD"/>
    <w:rsid w:val="00431E77"/>
    <w:rsid w:val="004320BE"/>
    <w:rsid w:val="0043266A"/>
    <w:rsid w:val="004329B8"/>
    <w:rsid w:val="00433C95"/>
    <w:rsid w:val="00434474"/>
    <w:rsid w:val="00434CF6"/>
    <w:rsid w:val="004354A5"/>
    <w:rsid w:val="00435EDA"/>
    <w:rsid w:val="0043773A"/>
    <w:rsid w:val="00437791"/>
    <w:rsid w:val="004425DB"/>
    <w:rsid w:val="00444D5C"/>
    <w:rsid w:val="004454C2"/>
    <w:rsid w:val="00446320"/>
    <w:rsid w:val="00446738"/>
    <w:rsid w:val="00446C15"/>
    <w:rsid w:val="0045109F"/>
    <w:rsid w:val="00451CF1"/>
    <w:rsid w:val="00454C34"/>
    <w:rsid w:val="00454F63"/>
    <w:rsid w:val="00455A81"/>
    <w:rsid w:val="00456851"/>
    <w:rsid w:val="00456B08"/>
    <w:rsid w:val="00460912"/>
    <w:rsid w:val="004623D6"/>
    <w:rsid w:val="004627DA"/>
    <w:rsid w:val="004629C5"/>
    <w:rsid w:val="00463CCF"/>
    <w:rsid w:val="004641C8"/>
    <w:rsid w:val="00464F7F"/>
    <w:rsid w:val="00466C18"/>
    <w:rsid w:val="00472244"/>
    <w:rsid w:val="00472C9C"/>
    <w:rsid w:val="00472E3C"/>
    <w:rsid w:val="00472FDE"/>
    <w:rsid w:val="00473922"/>
    <w:rsid w:val="00473F6C"/>
    <w:rsid w:val="00476D4D"/>
    <w:rsid w:val="00476F93"/>
    <w:rsid w:val="0048214D"/>
    <w:rsid w:val="00482C97"/>
    <w:rsid w:val="00484385"/>
    <w:rsid w:val="0048509D"/>
    <w:rsid w:val="00487A6F"/>
    <w:rsid w:val="00487B6D"/>
    <w:rsid w:val="00490CD4"/>
    <w:rsid w:val="00490F83"/>
    <w:rsid w:val="00492803"/>
    <w:rsid w:val="0049363D"/>
    <w:rsid w:val="00495D31"/>
    <w:rsid w:val="004A0615"/>
    <w:rsid w:val="004A0A1B"/>
    <w:rsid w:val="004A0EFC"/>
    <w:rsid w:val="004A474D"/>
    <w:rsid w:val="004A5E46"/>
    <w:rsid w:val="004A7239"/>
    <w:rsid w:val="004B1113"/>
    <w:rsid w:val="004B2C02"/>
    <w:rsid w:val="004B2DA9"/>
    <w:rsid w:val="004B3692"/>
    <w:rsid w:val="004B3AD4"/>
    <w:rsid w:val="004B3F3C"/>
    <w:rsid w:val="004B4528"/>
    <w:rsid w:val="004B4739"/>
    <w:rsid w:val="004B567B"/>
    <w:rsid w:val="004B5E24"/>
    <w:rsid w:val="004B7B77"/>
    <w:rsid w:val="004B7DC3"/>
    <w:rsid w:val="004C0122"/>
    <w:rsid w:val="004C1940"/>
    <w:rsid w:val="004C273A"/>
    <w:rsid w:val="004C3750"/>
    <w:rsid w:val="004C73C1"/>
    <w:rsid w:val="004C7969"/>
    <w:rsid w:val="004D0BDD"/>
    <w:rsid w:val="004D10FC"/>
    <w:rsid w:val="004D26F5"/>
    <w:rsid w:val="004D4569"/>
    <w:rsid w:val="004D47F8"/>
    <w:rsid w:val="004D4B84"/>
    <w:rsid w:val="004D5950"/>
    <w:rsid w:val="004D71AC"/>
    <w:rsid w:val="004E00E5"/>
    <w:rsid w:val="004E378F"/>
    <w:rsid w:val="004E37D9"/>
    <w:rsid w:val="004E40E1"/>
    <w:rsid w:val="004E42BE"/>
    <w:rsid w:val="004E436F"/>
    <w:rsid w:val="004E664C"/>
    <w:rsid w:val="004E67D1"/>
    <w:rsid w:val="004E6B10"/>
    <w:rsid w:val="004E6EBA"/>
    <w:rsid w:val="004F024B"/>
    <w:rsid w:val="004F2203"/>
    <w:rsid w:val="004F3960"/>
    <w:rsid w:val="004F3D09"/>
    <w:rsid w:val="004F5211"/>
    <w:rsid w:val="004F7C81"/>
    <w:rsid w:val="00500C82"/>
    <w:rsid w:val="005010C9"/>
    <w:rsid w:val="0050308C"/>
    <w:rsid w:val="0050309D"/>
    <w:rsid w:val="00504376"/>
    <w:rsid w:val="0050451A"/>
    <w:rsid w:val="00504B1A"/>
    <w:rsid w:val="0050608B"/>
    <w:rsid w:val="005077E9"/>
    <w:rsid w:val="00510626"/>
    <w:rsid w:val="00510F72"/>
    <w:rsid w:val="005126BE"/>
    <w:rsid w:val="005129B5"/>
    <w:rsid w:val="00513F03"/>
    <w:rsid w:val="00517B50"/>
    <w:rsid w:val="00517D4C"/>
    <w:rsid w:val="00520CAB"/>
    <w:rsid w:val="00521A5D"/>
    <w:rsid w:val="00521F2D"/>
    <w:rsid w:val="00523850"/>
    <w:rsid w:val="00524953"/>
    <w:rsid w:val="00525D78"/>
    <w:rsid w:val="00525F99"/>
    <w:rsid w:val="005264F1"/>
    <w:rsid w:val="00527654"/>
    <w:rsid w:val="0052791D"/>
    <w:rsid w:val="005313BF"/>
    <w:rsid w:val="005314BB"/>
    <w:rsid w:val="00533035"/>
    <w:rsid w:val="00533FA3"/>
    <w:rsid w:val="005348DB"/>
    <w:rsid w:val="00535015"/>
    <w:rsid w:val="00535182"/>
    <w:rsid w:val="00535310"/>
    <w:rsid w:val="0054478B"/>
    <w:rsid w:val="00544D20"/>
    <w:rsid w:val="00544D2A"/>
    <w:rsid w:val="00544FC6"/>
    <w:rsid w:val="00546F2B"/>
    <w:rsid w:val="00547151"/>
    <w:rsid w:val="0054770A"/>
    <w:rsid w:val="005522C9"/>
    <w:rsid w:val="005522EE"/>
    <w:rsid w:val="00553CEA"/>
    <w:rsid w:val="00554CF6"/>
    <w:rsid w:val="0055658E"/>
    <w:rsid w:val="00557127"/>
    <w:rsid w:val="00561C15"/>
    <w:rsid w:val="005626A4"/>
    <w:rsid w:val="00562FD8"/>
    <w:rsid w:val="00564B97"/>
    <w:rsid w:val="00565F6D"/>
    <w:rsid w:val="00566A88"/>
    <w:rsid w:val="0056750A"/>
    <w:rsid w:val="00570B17"/>
    <w:rsid w:val="00572286"/>
    <w:rsid w:val="00572F8E"/>
    <w:rsid w:val="005731D0"/>
    <w:rsid w:val="00573CAA"/>
    <w:rsid w:val="0057412F"/>
    <w:rsid w:val="00574F61"/>
    <w:rsid w:val="00576BF6"/>
    <w:rsid w:val="00577714"/>
    <w:rsid w:val="00580031"/>
    <w:rsid w:val="00581261"/>
    <w:rsid w:val="005815CA"/>
    <w:rsid w:val="00581A06"/>
    <w:rsid w:val="00581F66"/>
    <w:rsid w:val="00584F11"/>
    <w:rsid w:val="00586A72"/>
    <w:rsid w:val="00587131"/>
    <w:rsid w:val="005903B7"/>
    <w:rsid w:val="0059064F"/>
    <w:rsid w:val="00591C9F"/>
    <w:rsid w:val="005922FD"/>
    <w:rsid w:val="005932C7"/>
    <w:rsid w:val="00593D9D"/>
    <w:rsid w:val="00594463"/>
    <w:rsid w:val="005954A9"/>
    <w:rsid w:val="005963D8"/>
    <w:rsid w:val="005978C5"/>
    <w:rsid w:val="00597F53"/>
    <w:rsid w:val="005A0045"/>
    <w:rsid w:val="005B0651"/>
    <w:rsid w:val="005B1071"/>
    <w:rsid w:val="005B14C0"/>
    <w:rsid w:val="005B1F48"/>
    <w:rsid w:val="005B303D"/>
    <w:rsid w:val="005B381C"/>
    <w:rsid w:val="005B4B3A"/>
    <w:rsid w:val="005B5BC2"/>
    <w:rsid w:val="005B635F"/>
    <w:rsid w:val="005C0184"/>
    <w:rsid w:val="005C1930"/>
    <w:rsid w:val="005C1DCD"/>
    <w:rsid w:val="005C3C64"/>
    <w:rsid w:val="005C55F3"/>
    <w:rsid w:val="005C7365"/>
    <w:rsid w:val="005D0D58"/>
    <w:rsid w:val="005D2331"/>
    <w:rsid w:val="005D2430"/>
    <w:rsid w:val="005D2AF8"/>
    <w:rsid w:val="005D4781"/>
    <w:rsid w:val="005D4871"/>
    <w:rsid w:val="005D541A"/>
    <w:rsid w:val="005D59CC"/>
    <w:rsid w:val="005D6F5E"/>
    <w:rsid w:val="005E0F0E"/>
    <w:rsid w:val="005E1821"/>
    <w:rsid w:val="005E2593"/>
    <w:rsid w:val="005E449E"/>
    <w:rsid w:val="005E5723"/>
    <w:rsid w:val="005E5E56"/>
    <w:rsid w:val="005E79D3"/>
    <w:rsid w:val="005F1181"/>
    <w:rsid w:val="005F37EE"/>
    <w:rsid w:val="005F3BA9"/>
    <w:rsid w:val="005F4836"/>
    <w:rsid w:val="005F5444"/>
    <w:rsid w:val="005F5DA9"/>
    <w:rsid w:val="005F6015"/>
    <w:rsid w:val="005F622B"/>
    <w:rsid w:val="005F6C90"/>
    <w:rsid w:val="005F76D7"/>
    <w:rsid w:val="00600736"/>
    <w:rsid w:val="00603D23"/>
    <w:rsid w:val="00604FEB"/>
    <w:rsid w:val="00606FF1"/>
    <w:rsid w:val="00607405"/>
    <w:rsid w:val="00610785"/>
    <w:rsid w:val="00611CB3"/>
    <w:rsid w:val="0061204D"/>
    <w:rsid w:val="00612129"/>
    <w:rsid w:val="00612CF0"/>
    <w:rsid w:val="0061301D"/>
    <w:rsid w:val="00613038"/>
    <w:rsid w:val="0061485C"/>
    <w:rsid w:val="0061598D"/>
    <w:rsid w:val="006163D6"/>
    <w:rsid w:val="00617BF1"/>
    <w:rsid w:val="0062082A"/>
    <w:rsid w:val="00624BBF"/>
    <w:rsid w:val="00625CC2"/>
    <w:rsid w:val="00626174"/>
    <w:rsid w:val="00626E26"/>
    <w:rsid w:val="00627642"/>
    <w:rsid w:val="006302D7"/>
    <w:rsid w:val="006303E6"/>
    <w:rsid w:val="00630C81"/>
    <w:rsid w:val="0063351F"/>
    <w:rsid w:val="00635C67"/>
    <w:rsid w:val="00636F11"/>
    <w:rsid w:val="0063773C"/>
    <w:rsid w:val="006379ED"/>
    <w:rsid w:val="006402B0"/>
    <w:rsid w:val="00640F26"/>
    <w:rsid w:val="0064170E"/>
    <w:rsid w:val="0064302E"/>
    <w:rsid w:val="0064487C"/>
    <w:rsid w:val="00644CF2"/>
    <w:rsid w:val="00647BB5"/>
    <w:rsid w:val="006517F5"/>
    <w:rsid w:val="00651CE2"/>
    <w:rsid w:val="006546BE"/>
    <w:rsid w:val="006554DD"/>
    <w:rsid w:val="006607A3"/>
    <w:rsid w:val="00660E41"/>
    <w:rsid w:val="0066274B"/>
    <w:rsid w:val="00663EC1"/>
    <w:rsid w:val="00665A9D"/>
    <w:rsid w:val="0066675A"/>
    <w:rsid w:val="0066687B"/>
    <w:rsid w:val="006675E3"/>
    <w:rsid w:val="006708E0"/>
    <w:rsid w:val="00670EC7"/>
    <w:rsid w:val="00671BAE"/>
    <w:rsid w:val="00671D41"/>
    <w:rsid w:val="00672164"/>
    <w:rsid w:val="00672595"/>
    <w:rsid w:val="0067279E"/>
    <w:rsid w:val="00672EDD"/>
    <w:rsid w:val="00674DCB"/>
    <w:rsid w:val="00675709"/>
    <w:rsid w:val="0067576D"/>
    <w:rsid w:val="00675F0C"/>
    <w:rsid w:val="00677BB7"/>
    <w:rsid w:val="00677EC6"/>
    <w:rsid w:val="00680A38"/>
    <w:rsid w:val="0068182F"/>
    <w:rsid w:val="0068284B"/>
    <w:rsid w:val="00682C4D"/>
    <w:rsid w:val="00682C89"/>
    <w:rsid w:val="00684D86"/>
    <w:rsid w:val="00685C8D"/>
    <w:rsid w:val="006864D2"/>
    <w:rsid w:val="00687E03"/>
    <w:rsid w:val="006906A2"/>
    <w:rsid w:val="00690A11"/>
    <w:rsid w:val="006915A2"/>
    <w:rsid w:val="0069739F"/>
    <w:rsid w:val="0069742E"/>
    <w:rsid w:val="00697C1E"/>
    <w:rsid w:val="006A068C"/>
    <w:rsid w:val="006A2477"/>
    <w:rsid w:val="006A299B"/>
    <w:rsid w:val="006A31A6"/>
    <w:rsid w:val="006A39E0"/>
    <w:rsid w:val="006A5FC7"/>
    <w:rsid w:val="006A698C"/>
    <w:rsid w:val="006B06D6"/>
    <w:rsid w:val="006B0A93"/>
    <w:rsid w:val="006B113C"/>
    <w:rsid w:val="006B1A28"/>
    <w:rsid w:val="006B2384"/>
    <w:rsid w:val="006B2694"/>
    <w:rsid w:val="006B29F2"/>
    <w:rsid w:val="006B3D11"/>
    <w:rsid w:val="006B62F6"/>
    <w:rsid w:val="006B69B1"/>
    <w:rsid w:val="006B75D6"/>
    <w:rsid w:val="006C01F9"/>
    <w:rsid w:val="006C27EE"/>
    <w:rsid w:val="006C3507"/>
    <w:rsid w:val="006C3ED9"/>
    <w:rsid w:val="006C4404"/>
    <w:rsid w:val="006C4A99"/>
    <w:rsid w:val="006D1711"/>
    <w:rsid w:val="006D2CE6"/>
    <w:rsid w:val="006D3316"/>
    <w:rsid w:val="006D35D8"/>
    <w:rsid w:val="006D3A8B"/>
    <w:rsid w:val="006D3B25"/>
    <w:rsid w:val="006D3D5A"/>
    <w:rsid w:val="006D4AEC"/>
    <w:rsid w:val="006D556C"/>
    <w:rsid w:val="006D5A82"/>
    <w:rsid w:val="006D5DB9"/>
    <w:rsid w:val="006D6964"/>
    <w:rsid w:val="006E0D13"/>
    <w:rsid w:val="006E0F40"/>
    <w:rsid w:val="006E147C"/>
    <w:rsid w:val="006E1A46"/>
    <w:rsid w:val="006E28F6"/>
    <w:rsid w:val="006E2B30"/>
    <w:rsid w:val="006E38E8"/>
    <w:rsid w:val="006E76BB"/>
    <w:rsid w:val="006F05F0"/>
    <w:rsid w:val="006F0D8A"/>
    <w:rsid w:val="006F0E3D"/>
    <w:rsid w:val="006F0FE3"/>
    <w:rsid w:val="006F1EF6"/>
    <w:rsid w:val="006F45C2"/>
    <w:rsid w:val="006F4705"/>
    <w:rsid w:val="006F58A8"/>
    <w:rsid w:val="006F5C57"/>
    <w:rsid w:val="006F5E73"/>
    <w:rsid w:val="006F66D6"/>
    <w:rsid w:val="006F6B6A"/>
    <w:rsid w:val="006F7639"/>
    <w:rsid w:val="00700F1D"/>
    <w:rsid w:val="007038A2"/>
    <w:rsid w:val="00704BBA"/>
    <w:rsid w:val="00705FDE"/>
    <w:rsid w:val="00706546"/>
    <w:rsid w:val="00710C5A"/>
    <w:rsid w:val="00710CEE"/>
    <w:rsid w:val="00710D21"/>
    <w:rsid w:val="00710D2D"/>
    <w:rsid w:val="00710E72"/>
    <w:rsid w:val="00710EEF"/>
    <w:rsid w:val="00711F81"/>
    <w:rsid w:val="00713F43"/>
    <w:rsid w:val="00714011"/>
    <w:rsid w:val="0071475A"/>
    <w:rsid w:val="0072026F"/>
    <w:rsid w:val="0072035F"/>
    <w:rsid w:val="00722978"/>
    <w:rsid w:val="00727E5F"/>
    <w:rsid w:val="00732555"/>
    <w:rsid w:val="00732B38"/>
    <w:rsid w:val="00735FD9"/>
    <w:rsid w:val="00737D46"/>
    <w:rsid w:val="00740EDC"/>
    <w:rsid w:val="0074184E"/>
    <w:rsid w:val="00742731"/>
    <w:rsid w:val="00743D0E"/>
    <w:rsid w:val="00744506"/>
    <w:rsid w:val="00744FAD"/>
    <w:rsid w:val="00745553"/>
    <w:rsid w:val="00751170"/>
    <w:rsid w:val="007534F5"/>
    <w:rsid w:val="00754DFC"/>
    <w:rsid w:val="00756CD0"/>
    <w:rsid w:val="0076032D"/>
    <w:rsid w:val="00760550"/>
    <w:rsid w:val="00761D2B"/>
    <w:rsid w:val="00762888"/>
    <w:rsid w:val="00762EBD"/>
    <w:rsid w:val="0076367A"/>
    <w:rsid w:val="007653AB"/>
    <w:rsid w:val="00765795"/>
    <w:rsid w:val="00770928"/>
    <w:rsid w:val="007710E1"/>
    <w:rsid w:val="00771672"/>
    <w:rsid w:val="00771CB4"/>
    <w:rsid w:val="00772314"/>
    <w:rsid w:val="00772D1B"/>
    <w:rsid w:val="0077412C"/>
    <w:rsid w:val="00774D3D"/>
    <w:rsid w:val="007777EC"/>
    <w:rsid w:val="007778EE"/>
    <w:rsid w:val="007801E6"/>
    <w:rsid w:val="00780349"/>
    <w:rsid w:val="00780EE7"/>
    <w:rsid w:val="00781AE1"/>
    <w:rsid w:val="007831DB"/>
    <w:rsid w:val="00783439"/>
    <w:rsid w:val="007845B6"/>
    <w:rsid w:val="00787F1A"/>
    <w:rsid w:val="0079029B"/>
    <w:rsid w:val="0079331B"/>
    <w:rsid w:val="00795AF1"/>
    <w:rsid w:val="007962E8"/>
    <w:rsid w:val="007A023C"/>
    <w:rsid w:val="007A0416"/>
    <w:rsid w:val="007A04DB"/>
    <w:rsid w:val="007A1AE1"/>
    <w:rsid w:val="007A3322"/>
    <w:rsid w:val="007B0500"/>
    <w:rsid w:val="007B0A35"/>
    <w:rsid w:val="007B1936"/>
    <w:rsid w:val="007B21EB"/>
    <w:rsid w:val="007B3226"/>
    <w:rsid w:val="007B39D1"/>
    <w:rsid w:val="007B40F8"/>
    <w:rsid w:val="007B6161"/>
    <w:rsid w:val="007B71AA"/>
    <w:rsid w:val="007B7DC0"/>
    <w:rsid w:val="007C1597"/>
    <w:rsid w:val="007C2CB0"/>
    <w:rsid w:val="007C3E94"/>
    <w:rsid w:val="007C4B04"/>
    <w:rsid w:val="007D023A"/>
    <w:rsid w:val="007D0546"/>
    <w:rsid w:val="007D0BD7"/>
    <w:rsid w:val="007D25ED"/>
    <w:rsid w:val="007D2A62"/>
    <w:rsid w:val="007D2CD6"/>
    <w:rsid w:val="007D36F3"/>
    <w:rsid w:val="007D4AF2"/>
    <w:rsid w:val="007D57F8"/>
    <w:rsid w:val="007D5ED8"/>
    <w:rsid w:val="007D7B8D"/>
    <w:rsid w:val="007E0DEA"/>
    <w:rsid w:val="007E1A9A"/>
    <w:rsid w:val="007E21B7"/>
    <w:rsid w:val="007E23B0"/>
    <w:rsid w:val="007E2B7A"/>
    <w:rsid w:val="007E2C65"/>
    <w:rsid w:val="007E5B1D"/>
    <w:rsid w:val="007F225C"/>
    <w:rsid w:val="007F2291"/>
    <w:rsid w:val="007F32A4"/>
    <w:rsid w:val="007F3667"/>
    <w:rsid w:val="007F3718"/>
    <w:rsid w:val="007F40B1"/>
    <w:rsid w:val="007F48FB"/>
    <w:rsid w:val="007F4A85"/>
    <w:rsid w:val="007F5322"/>
    <w:rsid w:val="007F7403"/>
    <w:rsid w:val="00800678"/>
    <w:rsid w:val="00800FA0"/>
    <w:rsid w:val="00801319"/>
    <w:rsid w:val="00803932"/>
    <w:rsid w:val="00803CB7"/>
    <w:rsid w:val="008052A2"/>
    <w:rsid w:val="00805419"/>
    <w:rsid w:val="00805BB3"/>
    <w:rsid w:val="00806F99"/>
    <w:rsid w:val="008100D9"/>
    <w:rsid w:val="008102BB"/>
    <w:rsid w:val="00810A23"/>
    <w:rsid w:val="00810E82"/>
    <w:rsid w:val="00811CAA"/>
    <w:rsid w:val="00812819"/>
    <w:rsid w:val="0081452A"/>
    <w:rsid w:val="008148E6"/>
    <w:rsid w:val="00815EB8"/>
    <w:rsid w:val="00820347"/>
    <w:rsid w:val="00820D60"/>
    <w:rsid w:val="008222D4"/>
    <w:rsid w:val="008225A4"/>
    <w:rsid w:val="00822F7B"/>
    <w:rsid w:val="00823CAF"/>
    <w:rsid w:val="00826E46"/>
    <w:rsid w:val="008270CC"/>
    <w:rsid w:val="0083093F"/>
    <w:rsid w:val="00832525"/>
    <w:rsid w:val="00833243"/>
    <w:rsid w:val="00833C48"/>
    <w:rsid w:val="008341E0"/>
    <w:rsid w:val="00834834"/>
    <w:rsid w:val="00835E8F"/>
    <w:rsid w:val="00836748"/>
    <w:rsid w:val="008400BC"/>
    <w:rsid w:val="00841171"/>
    <w:rsid w:val="00842479"/>
    <w:rsid w:val="008446FC"/>
    <w:rsid w:val="00844B14"/>
    <w:rsid w:val="00846AC4"/>
    <w:rsid w:val="00847DCF"/>
    <w:rsid w:val="00850ACE"/>
    <w:rsid w:val="00851569"/>
    <w:rsid w:val="0085201D"/>
    <w:rsid w:val="008529D0"/>
    <w:rsid w:val="00853851"/>
    <w:rsid w:val="0085547F"/>
    <w:rsid w:val="00856DDA"/>
    <w:rsid w:val="00860CF6"/>
    <w:rsid w:val="00862228"/>
    <w:rsid w:val="00862DC3"/>
    <w:rsid w:val="008640C0"/>
    <w:rsid w:val="00864CAE"/>
    <w:rsid w:val="0086500A"/>
    <w:rsid w:val="008650BB"/>
    <w:rsid w:val="008667F2"/>
    <w:rsid w:val="00866A58"/>
    <w:rsid w:val="00866DEF"/>
    <w:rsid w:val="00867FCE"/>
    <w:rsid w:val="00870B55"/>
    <w:rsid w:val="008746CA"/>
    <w:rsid w:val="00876ADD"/>
    <w:rsid w:val="00877815"/>
    <w:rsid w:val="00880CF6"/>
    <w:rsid w:val="008819F1"/>
    <w:rsid w:val="00882D2B"/>
    <w:rsid w:val="00884C7F"/>
    <w:rsid w:val="00886100"/>
    <w:rsid w:val="00886738"/>
    <w:rsid w:val="0088773F"/>
    <w:rsid w:val="00890B2E"/>
    <w:rsid w:val="00891636"/>
    <w:rsid w:val="00891DD6"/>
    <w:rsid w:val="00892EDE"/>
    <w:rsid w:val="008939A8"/>
    <w:rsid w:val="00894A2E"/>
    <w:rsid w:val="0089791C"/>
    <w:rsid w:val="008A0624"/>
    <w:rsid w:val="008A1E9D"/>
    <w:rsid w:val="008A6793"/>
    <w:rsid w:val="008B1565"/>
    <w:rsid w:val="008B25D8"/>
    <w:rsid w:val="008B2943"/>
    <w:rsid w:val="008B4710"/>
    <w:rsid w:val="008C144D"/>
    <w:rsid w:val="008C236C"/>
    <w:rsid w:val="008C5325"/>
    <w:rsid w:val="008C5BCF"/>
    <w:rsid w:val="008D04FD"/>
    <w:rsid w:val="008D1477"/>
    <w:rsid w:val="008D22A8"/>
    <w:rsid w:val="008D42C9"/>
    <w:rsid w:val="008D475F"/>
    <w:rsid w:val="008D4F09"/>
    <w:rsid w:val="008D559B"/>
    <w:rsid w:val="008D664F"/>
    <w:rsid w:val="008D75F3"/>
    <w:rsid w:val="008E0355"/>
    <w:rsid w:val="008E2033"/>
    <w:rsid w:val="008E4594"/>
    <w:rsid w:val="008E4E48"/>
    <w:rsid w:val="008E5CCC"/>
    <w:rsid w:val="008E646E"/>
    <w:rsid w:val="008E6992"/>
    <w:rsid w:val="008F0BB2"/>
    <w:rsid w:val="008F1E96"/>
    <w:rsid w:val="008F3614"/>
    <w:rsid w:val="008F43D8"/>
    <w:rsid w:val="008F7920"/>
    <w:rsid w:val="00900220"/>
    <w:rsid w:val="00902031"/>
    <w:rsid w:val="00902798"/>
    <w:rsid w:val="00902F0C"/>
    <w:rsid w:val="00904674"/>
    <w:rsid w:val="00904E8B"/>
    <w:rsid w:val="009062DE"/>
    <w:rsid w:val="00907E60"/>
    <w:rsid w:val="009109B5"/>
    <w:rsid w:val="00910F1F"/>
    <w:rsid w:val="00912E06"/>
    <w:rsid w:val="00914196"/>
    <w:rsid w:val="00916352"/>
    <w:rsid w:val="009165A8"/>
    <w:rsid w:val="00916B63"/>
    <w:rsid w:val="00920240"/>
    <w:rsid w:val="009203FA"/>
    <w:rsid w:val="009204CD"/>
    <w:rsid w:val="0092088B"/>
    <w:rsid w:val="00922CC1"/>
    <w:rsid w:val="00925579"/>
    <w:rsid w:val="0092718C"/>
    <w:rsid w:val="00927E50"/>
    <w:rsid w:val="00931AAF"/>
    <w:rsid w:val="00935602"/>
    <w:rsid w:val="00935BBD"/>
    <w:rsid w:val="009375EB"/>
    <w:rsid w:val="00941451"/>
    <w:rsid w:val="00941F34"/>
    <w:rsid w:val="00942A0C"/>
    <w:rsid w:val="00945B8A"/>
    <w:rsid w:val="00946A39"/>
    <w:rsid w:val="00947704"/>
    <w:rsid w:val="009508C2"/>
    <w:rsid w:val="00951283"/>
    <w:rsid w:val="00951EC5"/>
    <w:rsid w:val="0095229E"/>
    <w:rsid w:val="0095511B"/>
    <w:rsid w:val="009559A9"/>
    <w:rsid w:val="009574EF"/>
    <w:rsid w:val="00960C29"/>
    <w:rsid w:val="00962E8D"/>
    <w:rsid w:val="0096486D"/>
    <w:rsid w:val="009651EF"/>
    <w:rsid w:val="00965275"/>
    <w:rsid w:val="00966C02"/>
    <w:rsid w:val="0096724D"/>
    <w:rsid w:val="00967BE5"/>
    <w:rsid w:val="009707F7"/>
    <w:rsid w:val="00970D7F"/>
    <w:rsid w:val="00971E87"/>
    <w:rsid w:val="00971F5F"/>
    <w:rsid w:val="00972E3D"/>
    <w:rsid w:val="00973290"/>
    <w:rsid w:val="00974CFA"/>
    <w:rsid w:val="0097598D"/>
    <w:rsid w:val="00977437"/>
    <w:rsid w:val="00980D29"/>
    <w:rsid w:val="009815FD"/>
    <w:rsid w:val="009827BA"/>
    <w:rsid w:val="00982FE7"/>
    <w:rsid w:val="009831E6"/>
    <w:rsid w:val="0098488F"/>
    <w:rsid w:val="0098490B"/>
    <w:rsid w:val="00985260"/>
    <w:rsid w:val="00986C9B"/>
    <w:rsid w:val="00990DA7"/>
    <w:rsid w:val="00996368"/>
    <w:rsid w:val="009969C5"/>
    <w:rsid w:val="00996EF7"/>
    <w:rsid w:val="00997017"/>
    <w:rsid w:val="00997994"/>
    <w:rsid w:val="009A07C1"/>
    <w:rsid w:val="009A44B8"/>
    <w:rsid w:val="009A4BA3"/>
    <w:rsid w:val="009A54CB"/>
    <w:rsid w:val="009A6E57"/>
    <w:rsid w:val="009A7448"/>
    <w:rsid w:val="009A76DF"/>
    <w:rsid w:val="009B033E"/>
    <w:rsid w:val="009B3570"/>
    <w:rsid w:val="009B477A"/>
    <w:rsid w:val="009B6CCD"/>
    <w:rsid w:val="009C06A3"/>
    <w:rsid w:val="009C1004"/>
    <w:rsid w:val="009C3BD9"/>
    <w:rsid w:val="009C6379"/>
    <w:rsid w:val="009D1012"/>
    <w:rsid w:val="009D20EA"/>
    <w:rsid w:val="009D334D"/>
    <w:rsid w:val="009D34D4"/>
    <w:rsid w:val="009D7130"/>
    <w:rsid w:val="009E268E"/>
    <w:rsid w:val="009E2B1D"/>
    <w:rsid w:val="009E377B"/>
    <w:rsid w:val="009E55B0"/>
    <w:rsid w:val="009E6589"/>
    <w:rsid w:val="009E70BA"/>
    <w:rsid w:val="009E7AD2"/>
    <w:rsid w:val="009F14DF"/>
    <w:rsid w:val="009F4639"/>
    <w:rsid w:val="009F5CED"/>
    <w:rsid w:val="009F605E"/>
    <w:rsid w:val="009F6103"/>
    <w:rsid w:val="00A00D63"/>
    <w:rsid w:val="00A01B5F"/>
    <w:rsid w:val="00A02657"/>
    <w:rsid w:val="00A040FC"/>
    <w:rsid w:val="00A044F5"/>
    <w:rsid w:val="00A04E59"/>
    <w:rsid w:val="00A05C65"/>
    <w:rsid w:val="00A070DA"/>
    <w:rsid w:val="00A07671"/>
    <w:rsid w:val="00A13B21"/>
    <w:rsid w:val="00A14B3E"/>
    <w:rsid w:val="00A201B2"/>
    <w:rsid w:val="00A23518"/>
    <w:rsid w:val="00A23B49"/>
    <w:rsid w:val="00A25A79"/>
    <w:rsid w:val="00A25AA9"/>
    <w:rsid w:val="00A274C5"/>
    <w:rsid w:val="00A31F4B"/>
    <w:rsid w:val="00A31F75"/>
    <w:rsid w:val="00A32E78"/>
    <w:rsid w:val="00A3324A"/>
    <w:rsid w:val="00A344B0"/>
    <w:rsid w:val="00A35292"/>
    <w:rsid w:val="00A35323"/>
    <w:rsid w:val="00A3582E"/>
    <w:rsid w:val="00A35C44"/>
    <w:rsid w:val="00A4691D"/>
    <w:rsid w:val="00A46F4F"/>
    <w:rsid w:val="00A47EF9"/>
    <w:rsid w:val="00A52A91"/>
    <w:rsid w:val="00A5336B"/>
    <w:rsid w:val="00A54D1D"/>
    <w:rsid w:val="00A55A3F"/>
    <w:rsid w:val="00A55F2C"/>
    <w:rsid w:val="00A60AD6"/>
    <w:rsid w:val="00A61E72"/>
    <w:rsid w:val="00A62F05"/>
    <w:rsid w:val="00A63AE1"/>
    <w:rsid w:val="00A65427"/>
    <w:rsid w:val="00A657C1"/>
    <w:rsid w:val="00A65ED2"/>
    <w:rsid w:val="00A662C5"/>
    <w:rsid w:val="00A667B5"/>
    <w:rsid w:val="00A715AA"/>
    <w:rsid w:val="00A729FC"/>
    <w:rsid w:val="00A72C05"/>
    <w:rsid w:val="00A7303D"/>
    <w:rsid w:val="00A765A5"/>
    <w:rsid w:val="00A76B9F"/>
    <w:rsid w:val="00A77E7C"/>
    <w:rsid w:val="00A80219"/>
    <w:rsid w:val="00A802F2"/>
    <w:rsid w:val="00A82490"/>
    <w:rsid w:val="00A82ED6"/>
    <w:rsid w:val="00A830C2"/>
    <w:rsid w:val="00A84CFD"/>
    <w:rsid w:val="00A872A6"/>
    <w:rsid w:val="00A874F5"/>
    <w:rsid w:val="00A92603"/>
    <w:rsid w:val="00A92BC0"/>
    <w:rsid w:val="00A931A5"/>
    <w:rsid w:val="00A934FB"/>
    <w:rsid w:val="00A940F8"/>
    <w:rsid w:val="00A94FB4"/>
    <w:rsid w:val="00A95B9E"/>
    <w:rsid w:val="00A975D5"/>
    <w:rsid w:val="00AA040B"/>
    <w:rsid w:val="00AA0A1A"/>
    <w:rsid w:val="00AA26C8"/>
    <w:rsid w:val="00AA2FF9"/>
    <w:rsid w:val="00AA38EF"/>
    <w:rsid w:val="00AA391E"/>
    <w:rsid w:val="00AA58C8"/>
    <w:rsid w:val="00AA5D16"/>
    <w:rsid w:val="00AB05F7"/>
    <w:rsid w:val="00AB06E6"/>
    <w:rsid w:val="00AB1082"/>
    <w:rsid w:val="00AB1DE8"/>
    <w:rsid w:val="00AB337B"/>
    <w:rsid w:val="00AB5E86"/>
    <w:rsid w:val="00AC153F"/>
    <w:rsid w:val="00AC1EA9"/>
    <w:rsid w:val="00AC2070"/>
    <w:rsid w:val="00AC2AD5"/>
    <w:rsid w:val="00AC2BB1"/>
    <w:rsid w:val="00AC3C23"/>
    <w:rsid w:val="00AC4613"/>
    <w:rsid w:val="00AC526F"/>
    <w:rsid w:val="00AC58F5"/>
    <w:rsid w:val="00AD1400"/>
    <w:rsid w:val="00AD254B"/>
    <w:rsid w:val="00AD3DFA"/>
    <w:rsid w:val="00AD4C8D"/>
    <w:rsid w:val="00AD5E54"/>
    <w:rsid w:val="00AD640D"/>
    <w:rsid w:val="00AD7B27"/>
    <w:rsid w:val="00AD7CF9"/>
    <w:rsid w:val="00AE00EE"/>
    <w:rsid w:val="00AE0A4F"/>
    <w:rsid w:val="00AE29B8"/>
    <w:rsid w:val="00AE2E29"/>
    <w:rsid w:val="00AE2FC5"/>
    <w:rsid w:val="00AE42D0"/>
    <w:rsid w:val="00AE4FFC"/>
    <w:rsid w:val="00AE61B6"/>
    <w:rsid w:val="00AE64AF"/>
    <w:rsid w:val="00AE7216"/>
    <w:rsid w:val="00AF078E"/>
    <w:rsid w:val="00AF2396"/>
    <w:rsid w:val="00AF25D0"/>
    <w:rsid w:val="00AF3499"/>
    <w:rsid w:val="00AF3693"/>
    <w:rsid w:val="00AF40AE"/>
    <w:rsid w:val="00AF45DE"/>
    <w:rsid w:val="00AF45FB"/>
    <w:rsid w:val="00AF4F86"/>
    <w:rsid w:val="00AF547C"/>
    <w:rsid w:val="00AF6647"/>
    <w:rsid w:val="00AF78AA"/>
    <w:rsid w:val="00B0074B"/>
    <w:rsid w:val="00B0658B"/>
    <w:rsid w:val="00B07B04"/>
    <w:rsid w:val="00B126D6"/>
    <w:rsid w:val="00B13070"/>
    <w:rsid w:val="00B132DA"/>
    <w:rsid w:val="00B13D40"/>
    <w:rsid w:val="00B1547B"/>
    <w:rsid w:val="00B16978"/>
    <w:rsid w:val="00B21D26"/>
    <w:rsid w:val="00B21E51"/>
    <w:rsid w:val="00B2453D"/>
    <w:rsid w:val="00B249FF"/>
    <w:rsid w:val="00B257EA"/>
    <w:rsid w:val="00B26834"/>
    <w:rsid w:val="00B30DE4"/>
    <w:rsid w:val="00B323FA"/>
    <w:rsid w:val="00B35FDC"/>
    <w:rsid w:val="00B3664B"/>
    <w:rsid w:val="00B4115E"/>
    <w:rsid w:val="00B413DB"/>
    <w:rsid w:val="00B4303B"/>
    <w:rsid w:val="00B43C3D"/>
    <w:rsid w:val="00B441EC"/>
    <w:rsid w:val="00B46038"/>
    <w:rsid w:val="00B46C52"/>
    <w:rsid w:val="00B5163F"/>
    <w:rsid w:val="00B51688"/>
    <w:rsid w:val="00B51A99"/>
    <w:rsid w:val="00B52A2B"/>
    <w:rsid w:val="00B52B04"/>
    <w:rsid w:val="00B533E2"/>
    <w:rsid w:val="00B55A1E"/>
    <w:rsid w:val="00B56E47"/>
    <w:rsid w:val="00B57143"/>
    <w:rsid w:val="00B638DB"/>
    <w:rsid w:val="00B65CD4"/>
    <w:rsid w:val="00B706DB"/>
    <w:rsid w:val="00B707A1"/>
    <w:rsid w:val="00B729AD"/>
    <w:rsid w:val="00B77982"/>
    <w:rsid w:val="00B809FA"/>
    <w:rsid w:val="00B81644"/>
    <w:rsid w:val="00B81A34"/>
    <w:rsid w:val="00B81A8D"/>
    <w:rsid w:val="00B81EF1"/>
    <w:rsid w:val="00B82076"/>
    <w:rsid w:val="00B834F1"/>
    <w:rsid w:val="00B84279"/>
    <w:rsid w:val="00B84C7F"/>
    <w:rsid w:val="00B84E0B"/>
    <w:rsid w:val="00B85711"/>
    <w:rsid w:val="00B87690"/>
    <w:rsid w:val="00B877E5"/>
    <w:rsid w:val="00B90921"/>
    <w:rsid w:val="00B94E81"/>
    <w:rsid w:val="00B970AA"/>
    <w:rsid w:val="00B97554"/>
    <w:rsid w:val="00B97E5E"/>
    <w:rsid w:val="00BA00E4"/>
    <w:rsid w:val="00BA096C"/>
    <w:rsid w:val="00BA189C"/>
    <w:rsid w:val="00BA1BF4"/>
    <w:rsid w:val="00BA570F"/>
    <w:rsid w:val="00BA7891"/>
    <w:rsid w:val="00BB0FF1"/>
    <w:rsid w:val="00BB151E"/>
    <w:rsid w:val="00BB2061"/>
    <w:rsid w:val="00BB227E"/>
    <w:rsid w:val="00BB2B56"/>
    <w:rsid w:val="00BB2CEF"/>
    <w:rsid w:val="00BB604C"/>
    <w:rsid w:val="00BB6094"/>
    <w:rsid w:val="00BB60D8"/>
    <w:rsid w:val="00BB7F6F"/>
    <w:rsid w:val="00BC2712"/>
    <w:rsid w:val="00BC6B9D"/>
    <w:rsid w:val="00BC6E6C"/>
    <w:rsid w:val="00BD278A"/>
    <w:rsid w:val="00BD35B3"/>
    <w:rsid w:val="00BD5102"/>
    <w:rsid w:val="00BD589E"/>
    <w:rsid w:val="00BD64AB"/>
    <w:rsid w:val="00BD6538"/>
    <w:rsid w:val="00BD70C0"/>
    <w:rsid w:val="00BE2BCC"/>
    <w:rsid w:val="00BE3002"/>
    <w:rsid w:val="00BE3F7B"/>
    <w:rsid w:val="00BE4064"/>
    <w:rsid w:val="00BE4298"/>
    <w:rsid w:val="00BE5599"/>
    <w:rsid w:val="00BE5B64"/>
    <w:rsid w:val="00BE6D21"/>
    <w:rsid w:val="00BE79B0"/>
    <w:rsid w:val="00BE7ED1"/>
    <w:rsid w:val="00BF1851"/>
    <w:rsid w:val="00BF32F4"/>
    <w:rsid w:val="00BF3749"/>
    <w:rsid w:val="00BF3AFC"/>
    <w:rsid w:val="00BF4CF9"/>
    <w:rsid w:val="00BF6CD1"/>
    <w:rsid w:val="00C005BB"/>
    <w:rsid w:val="00C018BC"/>
    <w:rsid w:val="00C046F8"/>
    <w:rsid w:val="00C06F8C"/>
    <w:rsid w:val="00C100E8"/>
    <w:rsid w:val="00C1146B"/>
    <w:rsid w:val="00C118A4"/>
    <w:rsid w:val="00C12309"/>
    <w:rsid w:val="00C126E9"/>
    <w:rsid w:val="00C131CE"/>
    <w:rsid w:val="00C13648"/>
    <w:rsid w:val="00C13EC1"/>
    <w:rsid w:val="00C15426"/>
    <w:rsid w:val="00C171C8"/>
    <w:rsid w:val="00C1743E"/>
    <w:rsid w:val="00C1751C"/>
    <w:rsid w:val="00C17597"/>
    <w:rsid w:val="00C20293"/>
    <w:rsid w:val="00C21AE1"/>
    <w:rsid w:val="00C2204C"/>
    <w:rsid w:val="00C22107"/>
    <w:rsid w:val="00C22AD9"/>
    <w:rsid w:val="00C22CEA"/>
    <w:rsid w:val="00C2417A"/>
    <w:rsid w:val="00C24A2D"/>
    <w:rsid w:val="00C25125"/>
    <w:rsid w:val="00C31580"/>
    <w:rsid w:val="00C317BF"/>
    <w:rsid w:val="00C32BE5"/>
    <w:rsid w:val="00C33197"/>
    <w:rsid w:val="00C3381C"/>
    <w:rsid w:val="00C348A1"/>
    <w:rsid w:val="00C369C6"/>
    <w:rsid w:val="00C37103"/>
    <w:rsid w:val="00C37357"/>
    <w:rsid w:val="00C37E99"/>
    <w:rsid w:val="00C416C9"/>
    <w:rsid w:val="00C42F19"/>
    <w:rsid w:val="00C438C1"/>
    <w:rsid w:val="00C44D26"/>
    <w:rsid w:val="00C4575A"/>
    <w:rsid w:val="00C468D9"/>
    <w:rsid w:val="00C47A44"/>
    <w:rsid w:val="00C52662"/>
    <w:rsid w:val="00C54473"/>
    <w:rsid w:val="00C55535"/>
    <w:rsid w:val="00C56DF1"/>
    <w:rsid w:val="00C56ECD"/>
    <w:rsid w:val="00C57E3D"/>
    <w:rsid w:val="00C61E3F"/>
    <w:rsid w:val="00C62FAC"/>
    <w:rsid w:val="00C63AD5"/>
    <w:rsid w:val="00C63F26"/>
    <w:rsid w:val="00C640E0"/>
    <w:rsid w:val="00C6492D"/>
    <w:rsid w:val="00C6588C"/>
    <w:rsid w:val="00C65BFC"/>
    <w:rsid w:val="00C65F4C"/>
    <w:rsid w:val="00C66449"/>
    <w:rsid w:val="00C706EE"/>
    <w:rsid w:val="00C71B15"/>
    <w:rsid w:val="00C72BC5"/>
    <w:rsid w:val="00C73EAD"/>
    <w:rsid w:val="00C74296"/>
    <w:rsid w:val="00C776DD"/>
    <w:rsid w:val="00C82590"/>
    <w:rsid w:val="00C82E51"/>
    <w:rsid w:val="00C8606B"/>
    <w:rsid w:val="00C861BB"/>
    <w:rsid w:val="00C862A7"/>
    <w:rsid w:val="00C868E0"/>
    <w:rsid w:val="00C91827"/>
    <w:rsid w:val="00C91D0D"/>
    <w:rsid w:val="00C923A6"/>
    <w:rsid w:val="00C92872"/>
    <w:rsid w:val="00CA0806"/>
    <w:rsid w:val="00CA0D66"/>
    <w:rsid w:val="00CA0FE3"/>
    <w:rsid w:val="00CA123F"/>
    <w:rsid w:val="00CA413C"/>
    <w:rsid w:val="00CA5EC3"/>
    <w:rsid w:val="00CB12F3"/>
    <w:rsid w:val="00CB70BF"/>
    <w:rsid w:val="00CB7DEF"/>
    <w:rsid w:val="00CC0E3A"/>
    <w:rsid w:val="00CC1DDC"/>
    <w:rsid w:val="00CC24B4"/>
    <w:rsid w:val="00CC342B"/>
    <w:rsid w:val="00CC6CE2"/>
    <w:rsid w:val="00CD20E8"/>
    <w:rsid w:val="00CD3460"/>
    <w:rsid w:val="00CD35C8"/>
    <w:rsid w:val="00CD3B6B"/>
    <w:rsid w:val="00CD55DE"/>
    <w:rsid w:val="00CD6279"/>
    <w:rsid w:val="00CE1CDF"/>
    <w:rsid w:val="00CE3175"/>
    <w:rsid w:val="00CE497E"/>
    <w:rsid w:val="00CE53CA"/>
    <w:rsid w:val="00CE68E0"/>
    <w:rsid w:val="00CE7720"/>
    <w:rsid w:val="00CF0038"/>
    <w:rsid w:val="00CF10B9"/>
    <w:rsid w:val="00CF1260"/>
    <w:rsid w:val="00CF2139"/>
    <w:rsid w:val="00CF32EA"/>
    <w:rsid w:val="00CF5699"/>
    <w:rsid w:val="00CF6EF5"/>
    <w:rsid w:val="00CF7107"/>
    <w:rsid w:val="00CF7AC8"/>
    <w:rsid w:val="00D01312"/>
    <w:rsid w:val="00D019C9"/>
    <w:rsid w:val="00D05692"/>
    <w:rsid w:val="00D05A89"/>
    <w:rsid w:val="00D0652E"/>
    <w:rsid w:val="00D06CAF"/>
    <w:rsid w:val="00D071A6"/>
    <w:rsid w:val="00D074F2"/>
    <w:rsid w:val="00D10E56"/>
    <w:rsid w:val="00D11B1C"/>
    <w:rsid w:val="00D11FA5"/>
    <w:rsid w:val="00D15895"/>
    <w:rsid w:val="00D22883"/>
    <w:rsid w:val="00D22A5D"/>
    <w:rsid w:val="00D22A60"/>
    <w:rsid w:val="00D254C3"/>
    <w:rsid w:val="00D26B88"/>
    <w:rsid w:val="00D304C1"/>
    <w:rsid w:val="00D33120"/>
    <w:rsid w:val="00D33D5F"/>
    <w:rsid w:val="00D33F4C"/>
    <w:rsid w:val="00D34B02"/>
    <w:rsid w:val="00D34FA6"/>
    <w:rsid w:val="00D4204D"/>
    <w:rsid w:val="00D45E60"/>
    <w:rsid w:val="00D50A57"/>
    <w:rsid w:val="00D53ADD"/>
    <w:rsid w:val="00D55BC8"/>
    <w:rsid w:val="00D60109"/>
    <w:rsid w:val="00D60E29"/>
    <w:rsid w:val="00D61504"/>
    <w:rsid w:val="00D637A0"/>
    <w:rsid w:val="00D646AB"/>
    <w:rsid w:val="00D67272"/>
    <w:rsid w:val="00D67599"/>
    <w:rsid w:val="00D67F7D"/>
    <w:rsid w:val="00D70C8F"/>
    <w:rsid w:val="00D72E2A"/>
    <w:rsid w:val="00D74727"/>
    <w:rsid w:val="00D752C5"/>
    <w:rsid w:val="00D75F25"/>
    <w:rsid w:val="00D76468"/>
    <w:rsid w:val="00D8018A"/>
    <w:rsid w:val="00D818F7"/>
    <w:rsid w:val="00D8274F"/>
    <w:rsid w:val="00D85E01"/>
    <w:rsid w:val="00D85FA7"/>
    <w:rsid w:val="00D876D5"/>
    <w:rsid w:val="00D8789C"/>
    <w:rsid w:val="00D91611"/>
    <w:rsid w:val="00D9408A"/>
    <w:rsid w:val="00D94AD0"/>
    <w:rsid w:val="00D96707"/>
    <w:rsid w:val="00D97704"/>
    <w:rsid w:val="00D97C49"/>
    <w:rsid w:val="00DA0AED"/>
    <w:rsid w:val="00DA1B44"/>
    <w:rsid w:val="00DA3D01"/>
    <w:rsid w:val="00DA61D5"/>
    <w:rsid w:val="00DB0BD7"/>
    <w:rsid w:val="00DB0DFB"/>
    <w:rsid w:val="00DB12A1"/>
    <w:rsid w:val="00DB1E5C"/>
    <w:rsid w:val="00DB29D6"/>
    <w:rsid w:val="00DB488F"/>
    <w:rsid w:val="00DB5914"/>
    <w:rsid w:val="00DB5B1E"/>
    <w:rsid w:val="00DB65FB"/>
    <w:rsid w:val="00DC11D2"/>
    <w:rsid w:val="00DC199E"/>
    <w:rsid w:val="00DC1E16"/>
    <w:rsid w:val="00DC2168"/>
    <w:rsid w:val="00DC3275"/>
    <w:rsid w:val="00DC396A"/>
    <w:rsid w:val="00DC4A45"/>
    <w:rsid w:val="00DC5669"/>
    <w:rsid w:val="00DC6AE9"/>
    <w:rsid w:val="00DD1036"/>
    <w:rsid w:val="00DD1971"/>
    <w:rsid w:val="00DD2DC1"/>
    <w:rsid w:val="00DD33DF"/>
    <w:rsid w:val="00DD440D"/>
    <w:rsid w:val="00DD5DFD"/>
    <w:rsid w:val="00DD5EB6"/>
    <w:rsid w:val="00DD6771"/>
    <w:rsid w:val="00DE00DC"/>
    <w:rsid w:val="00DE0904"/>
    <w:rsid w:val="00DE2ABC"/>
    <w:rsid w:val="00DE2DAB"/>
    <w:rsid w:val="00DE30A6"/>
    <w:rsid w:val="00DE3CA8"/>
    <w:rsid w:val="00DE5630"/>
    <w:rsid w:val="00DE690E"/>
    <w:rsid w:val="00DE721F"/>
    <w:rsid w:val="00DF1404"/>
    <w:rsid w:val="00DF15EE"/>
    <w:rsid w:val="00DF1832"/>
    <w:rsid w:val="00DF4083"/>
    <w:rsid w:val="00DF4A2A"/>
    <w:rsid w:val="00E010D6"/>
    <w:rsid w:val="00E01570"/>
    <w:rsid w:val="00E01B23"/>
    <w:rsid w:val="00E02505"/>
    <w:rsid w:val="00E03012"/>
    <w:rsid w:val="00E04456"/>
    <w:rsid w:val="00E04C9A"/>
    <w:rsid w:val="00E06058"/>
    <w:rsid w:val="00E072FA"/>
    <w:rsid w:val="00E07AA6"/>
    <w:rsid w:val="00E10B3B"/>
    <w:rsid w:val="00E11763"/>
    <w:rsid w:val="00E1280F"/>
    <w:rsid w:val="00E12D9C"/>
    <w:rsid w:val="00E13D6C"/>
    <w:rsid w:val="00E16053"/>
    <w:rsid w:val="00E1640F"/>
    <w:rsid w:val="00E16925"/>
    <w:rsid w:val="00E16B9C"/>
    <w:rsid w:val="00E17A1A"/>
    <w:rsid w:val="00E20498"/>
    <w:rsid w:val="00E20B9A"/>
    <w:rsid w:val="00E20C38"/>
    <w:rsid w:val="00E211FD"/>
    <w:rsid w:val="00E220C5"/>
    <w:rsid w:val="00E222F7"/>
    <w:rsid w:val="00E30D1F"/>
    <w:rsid w:val="00E31708"/>
    <w:rsid w:val="00E31F94"/>
    <w:rsid w:val="00E32376"/>
    <w:rsid w:val="00E328CF"/>
    <w:rsid w:val="00E34A0A"/>
    <w:rsid w:val="00E36A5B"/>
    <w:rsid w:val="00E377B1"/>
    <w:rsid w:val="00E379EE"/>
    <w:rsid w:val="00E37D4C"/>
    <w:rsid w:val="00E4069B"/>
    <w:rsid w:val="00E40CAF"/>
    <w:rsid w:val="00E41CA2"/>
    <w:rsid w:val="00E4561C"/>
    <w:rsid w:val="00E45B60"/>
    <w:rsid w:val="00E461EA"/>
    <w:rsid w:val="00E52953"/>
    <w:rsid w:val="00E540A2"/>
    <w:rsid w:val="00E54587"/>
    <w:rsid w:val="00E55115"/>
    <w:rsid w:val="00E6021D"/>
    <w:rsid w:val="00E60E80"/>
    <w:rsid w:val="00E6171B"/>
    <w:rsid w:val="00E67F7D"/>
    <w:rsid w:val="00E70B68"/>
    <w:rsid w:val="00E70B95"/>
    <w:rsid w:val="00E712F3"/>
    <w:rsid w:val="00E758E3"/>
    <w:rsid w:val="00E7682E"/>
    <w:rsid w:val="00E77CE4"/>
    <w:rsid w:val="00E830F7"/>
    <w:rsid w:val="00E84FC3"/>
    <w:rsid w:val="00E85E1B"/>
    <w:rsid w:val="00E86670"/>
    <w:rsid w:val="00E86E01"/>
    <w:rsid w:val="00E90659"/>
    <w:rsid w:val="00E9341E"/>
    <w:rsid w:val="00E93C85"/>
    <w:rsid w:val="00E94776"/>
    <w:rsid w:val="00E96A66"/>
    <w:rsid w:val="00EA09C9"/>
    <w:rsid w:val="00EA0DF6"/>
    <w:rsid w:val="00EA0E1C"/>
    <w:rsid w:val="00EA2EF2"/>
    <w:rsid w:val="00EA34C7"/>
    <w:rsid w:val="00EA3979"/>
    <w:rsid w:val="00EA3C35"/>
    <w:rsid w:val="00EA4E39"/>
    <w:rsid w:val="00EA617A"/>
    <w:rsid w:val="00EB1101"/>
    <w:rsid w:val="00EB1234"/>
    <w:rsid w:val="00EB19CF"/>
    <w:rsid w:val="00EB2ACB"/>
    <w:rsid w:val="00EB2C7C"/>
    <w:rsid w:val="00EB2D6B"/>
    <w:rsid w:val="00EB2D7F"/>
    <w:rsid w:val="00EB2E21"/>
    <w:rsid w:val="00EB3DB7"/>
    <w:rsid w:val="00EB440F"/>
    <w:rsid w:val="00EB6577"/>
    <w:rsid w:val="00EB6B23"/>
    <w:rsid w:val="00EC06D5"/>
    <w:rsid w:val="00EC2FCC"/>
    <w:rsid w:val="00EC386A"/>
    <w:rsid w:val="00EC3C10"/>
    <w:rsid w:val="00EC7B01"/>
    <w:rsid w:val="00ED097E"/>
    <w:rsid w:val="00ED3F51"/>
    <w:rsid w:val="00ED5856"/>
    <w:rsid w:val="00ED5AF7"/>
    <w:rsid w:val="00ED6FE8"/>
    <w:rsid w:val="00ED70BD"/>
    <w:rsid w:val="00EE11F5"/>
    <w:rsid w:val="00EE1344"/>
    <w:rsid w:val="00EE1A2B"/>
    <w:rsid w:val="00EE21E1"/>
    <w:rsid w:val="00EE35CD"/>
    <w:rsid w:val="00EE50D3"/>
    <w:rsid w:val="00EE6DE9"/>
    <w:rsid w:val="00EE6F4C"/>
    <w:rsid w:val="00EE7093"/>
    <w:rsid w:val="00EE78FB"/>
    <w:rsid w:val="00EF025D"/>
    <w:rsid w:val="00EF0742"/>
    <w:rsid w:val="00EF1DE3"/>
    <w:rsid w:val="00EF20EF"/>
    <w:rsid w:val="00EF2DB8"/>
    <w:rsid w:val="00EF4A0F"/>
    <w:rsid w:val="00EF6455"/>
    <w:rsid w:val="00EF6DAE"/>
    <w:rsid w:val="00EF7262"/>
    <w:rsid w:val="00F014DF"/>
    <w:rsid w:val="00F0206A"/>
    <w:rsid w:val="00F03FB1"/>
    <w:rsid w:val="00F0583B"/>
    <w:rsid w:val="00F060E5"/>
    <w:rsid w:val="00F07C39"/>
    <w:rsid w:val="00F12790"/>
    <w:rsid w:val="00F1461F"/>
    <w:rsid w:val="00F15D7A"/>
    <w:rsid w:val="00F1644F"/>
    <w:rsid w:val="00F174E9"/>
    <w:rsid w:val="00F17C05"/>
    <w:rsid w:val="00F17C21"/>
    <w:rsid w:val="00F212F4"/>
    <w:rsid w:val="00F22977"/>
    <w:rsid w:val="00F22DF0"/>
    <w:rsid w:val="00F230A1"/>
    <w:rsid w:val="00F243FA"/>
    <w:rsid w:val="00F2493B"/>
    <w:rsid w:val="00F26632"/>
    <w:rsid w:val="00F26638"/>
    <w:rsid w:val="00F26771"/>
    <w:rsid w:val="00F31DB8"/>
    <w:rsid w:val="00F35B7D"/>
    <w:rsid w:val="00F36058"/>
    <w:rsid w:val="00F414C1"/>
    <w:rsid w:val="00F423F1"/>
    <w:rsid w:val="00F43415"/>
    <w:rsid w:val="00F4447A"/>
    <w:rsid w:val="00F47AA3"/>
    <w:rsid w:val="00F50EF5"/>
    <w:rsid w:val="00F53C5C"/>
    <w:rsid w:val="00F544D0"/>
    <w:rsid w:val="00F55BB5"/>
    <w:rsid w:val="00F55BC7"/>
    <w:rsid w:val="00F56DB0"/>
    <w:rsid w:val="00F571F6"/>
    <w:rsid w:val="00F60369"/>
    <w:rsid w:val="00F60C02"/>
    <w:rsid w:val="00F610D3"/>
    <w:rsid w:val="00F61942"/>
    <w:rsid w:val="00F649E4"/>
    <w:rsid w:val="00F64CAE"/>
    <w:rsid w:val="00F66775"/>
    <w:rsid w:val="00F673AF"/>
    <w:rsid w:val="00F673EB"/>
    <w:rsid w:val="00F7161F"/>
    <w:rsid w:val="00F717AF"/>
    <w:rsid w:val="00F71C4F"/>
    <w:rsid w:val="00F720F5"/>
    <w:rsid w:val="00F725E1"/>
    <w:rsid w:val="00F72FB3"/>
    <w:rsid w:val="00F73BB0"/>
    <w:rsid w:val="00F772F8"/>
    <w:rsid w:val="00F804E7"/>
    <w:rsid w:val="00F810E0"/>
    <w:rsid w:val="00F81C77"/>
    <w:rsid w:val="00F84D28"/>
    <w:rsid w:val="00F84ECA"/>
    <w:rsid w:val="00F8585F"/>
    <w:rsid w:val="00F94C19"/>
    <w:rsid w:val="00F95DF2"/>
    <w:rsid w:val="00F963AE"/>
    <w:rsid w:val="00F96DF9"/>
    <w:rsid w:val="00F96F9C"/>
    <w:rsid w:val="00FA11DB"/>
    <w:rsid w:val="00FA18BD"/>
    <w:rsid w:val="00FA262F"/>
    <w:rsid w:val="00FA275C"/>
    <w:rsid w:val="00FA3B34"/>
    <w:rsid w:val="00FA5A55"/>
    <w:rsid w:val="00FA73DA"/>
    <w:rsid w:val="00FA74C5"/>
    <w:rsid w:val="00FA76E5"/>
    <w:rsid w:val="00FA79B0"/>
    <w:rsid w:val="00FB0E99"/>
    <w:rsid w:val="00FB0F81"/>
    <w:rsid w:val="00FB11C3"/>
    <w:rsid w:val="00FB11FB"/>
    <w:rsid w:val="00FB4D6A"/>
    <w:rsid w:val="00FB54BF"/>
    <w:rsid w:val="00FB750E"/>
    <w:rsid w:val="00FB752F"/>
    <w:rsid w:val="00FC073B"/>
    <w:rsid w:val="00FC088E"/>
    <w:rsid w:val="00FC6119"/>
    <w:rsid w:val="00FC620D"/>
    <w:rsid w:val="00FC6B2B"/>
    <w:rsid w:val="00FC6B99"/>
    <w:rsid w:val="00FD2D75"/>
    <w:rsid w:val="00FD4BAF"/>
    <w:rsid w:val="00FD6936"/>
    <w:rsid w:val="00FD6B9C"/>
    <w:rsid w:val="00FE3A1C"/>
    <w:rsid w:val="00FE42E3"/>
    <w:rsid w:val="00FE4306"/>
    <w:rsid w:val="00FE4D92"/>
    <w:rsid w:val="00FE5F34"/>
    <w:rsid w:val="00FE6333"/>
    <w:rsid w:val="00FE6A20"/>
    <w:rsid w:val="00FE6F30"/>
    <w:rsid w:val="00FE7A2B"/>
    <w:rsid w:val="00FF03B5"/>
    <w:rsid w:val="00FF10FA"/>
    <w:rsid w:val="00FF1D31"/>
    <w:rsid w:val="00FF528B"/>
    <w:rsid w:val="00FF7708"/>
    <w:rsid w:val="00FF77B1"/>
    <w:rsid w:val="00FF7ABA"/>
    <w:rsid w:val="054D0735"/>
    <w:rsid w:val="067A4921"/>
    <w:rsid w:val="06F77A5E"/>
    <w:rsid w:val="07621BAE"/>
    <w:rsid w:val="0828546F"/>
    <w:rsid w:val="0BE97B87"/>
    <w:rsid w:val="0C184A60"/>
    <w:rsid w:val="0C621DBC"/>
    <w:rsid w:val="0F8220F7"/>
    <w:rsid w:val="11FB1626"/>
    <w:rsid w:val="151D0F13"/>
    <w:rsid w:val="15C10D17"/>
    <w:rsid w:val="1BB835F2"/>
    <w:rsid w:val="1CD12C7A"/>
    <w:rsid w:val="1D0F529A"/>
    <w:rsid w:val="1D55653B"/>
    <w:rsid w:val="1D614DD0"/>
    <w:rsid w:val="1DD14358"/>
    <w:rsid w:val="22227A30"/>
    <w:rsid w:val="29D67050"/>
    <w:rsid w:val="2B34694B"/>
    <w:rsid w:val="2F1561A9"/>
    <w:rsid w:val="2F2057F0"/>
    <w:rsid w:val="2FD23583"/>
    <w:rsid w:val="30263ABF"/>
    <w:rsid w:val="350944AF"/>
    <w:rsid w:val="369551D2"/>
    <w:rsid w:val="390B50D8"/>
    <w:rsid w:val="3A323921"/>
    <w:rsid w:val="3A4D1562"/>
    <w:rsid w:val="3A74227D"/>
    <w:rsid w:val="41201C3F"/>
    <w:rsid w:val="419D6749"/>
    <w:rsid w:val="421022E6"/>
    <w:rsid w:val="4843554D"/>
    <w:rsid w:val="4A791D26"/>
    <w:rsid w:val="4E8A1A15"/>
    <w:rsid w:val="535B3542"/>
    <w:rsid w:val="539114D1"/>
    <w:rsid w:val="56B67ABC"/>
    <w:rsid w:val="583120BF"/>
    <w:rsid w:val="5875163D"/>
    <w:rsid w:val="58F97A2B"/>
    <w:rsid w:val="59D34ACD"/>
    <w:rsid w:val="5AF76EB1"/>
    <w:rsid w:val="61002FB2"/>
    <w:rsid w:val="62034CBF"/>
    <w:rsid w:val="78495F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nhideWhenUsed="0" w:uiPriority="0" w:semiHidden="0" w:name="List Number 2"/>
    <w:lsdException w:uiPriority="0" w:name="List Number 3"/>
    <w:lsdException w:uiPriority="0" w:name="List Number 4"/>
    <w:lsdException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spacing w:before="340" w:after="330" w:line="576" w:lineRule="auto"/>
      <w:outlineLvl w:val="0"/>
    </w:pPr>
    <w:rPr>
      <w:b/>
      <w:bCs/>
      <w:kern w:val="44"/>
      <w:sz w:val="44"/>
      <w:szCs w:val="44"/>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5"/>
    <w:qFormat/>
    <w:uiPriority w:val="0"/>
    <w:pPr>
      <w:ind w:left="525" w:firstLine="420"/>
    </w:pPr>
    <w:rPr>
      <w:szCs w:val="20"/>
    </w:rPr>
  </w:style>
  <w:style w:type="paragraph" w:styleId="4">
    <w:name w:val="annotation text"/>
    <w:basedOn w:val="1"/>
    <w:link w:val="31"/>
    <w:unhideWhenUsed/>
    <w:qFormat/>
    <w:uiPriority w:val="99"/>
    <w:pPr>
      <w:jc w:val="left"/>
    </w:pPr>
  </w:style>
  <w:style w:type="paragraph" w:styleId="5">
    <w:name w:val="Body Text"/>
    <w:basedOn w:val="1"/>
    <w:qFormat/>
    <w:uiPriority w:val="0"/>
    <w:pPr>
      <w:spacing w:after="120"/>
    </w:pPr>
  </w:style>
  <w:style w:type="paragraph" w:styleId="6">
    <w:name w:val="Body Text Indent"/>
    <w:basedOn w:val="1"/>
    <w:link w:val="24"/>
    <w:qFormat/>
    <w:uiPriority w:val="0"/>
    <w:pPr>
      <w:spacing w:after="120"/>
      <w:ind w:left="420" w:leftChars="200"/>
    </w:pPr>
  </w:style>
  <w:style w:type="paragraph" w:styleId="7">
    <w:name w:val="Date"/>
    <w:basedOn w:val="1"/>
    <w:next w:val="1"/>
    <w:link w:val="28"/>
    <w:qFormat/>
    <w:uiPriority w:val="0"/>
    <w:pPr>
      <w:ind w:left="100" w:leftChars="2500"/>
    </w:pPr>
  </w:style>
  <w:style w:type="paragraph" w:styleId="8">
    <w:name w:val="Body Text Indent 2"/>
    <w:basedOn w:val="1"/>
    <w:qFormat/>
    <w:uiPriority w:val="0"/>
    <w:pPr>
      <w:spacing w:after="120" w:line="480" w:lineRule="auto"/>
      <w:ind w:left="420" w:leftChars="200"/>
    </w:pPr>
  </w:style>
  <w:style w:type="paragraph" w:styleId="9">
    <w:name w:val="Balloon Text"/>
    <w:basedOn w:val="1"/>
    <w:link w:val="27"/>
    <w:qFormat/>
    <w:uiPriority w:val="0"/>
    <w:rPr>
      <w:sz w:val="18"/>
      <w:szCs w:val="18"/>
      <w:lang w:val="zh-CN"/>
    </w:rPr>
  </w:style>
  <w:style w:type="paragraph" w:styleId="10">
    <w:name w:val="footer"/>
    <w:basedOn w:val="1"/>
    <w:link w:val="26"/>
    <w:qFormat/>
    <w:uiPriority w:val="0"/>
    <w:pPr>
      <w:tabs>
        <w:tab w:val="center" w:pos="4153"/>
        <w:tab w:val="right" w:pos="8306"/>
      </w:tabs>
      <w:snapToGrid w:val="0"/>
      <w:jc w:val="left"/>
    </w:pPr>
    <w:rPr>
      <w:sz w:val="18"/>
      <w:szCs w:val="18"/>
      <w:lang w:val="zh-CN"/>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before="120" w:after="120"/>
      <w:jc w:val="left"/>
    </w:pPr>
    <w:rPr>
      <w:b/>
      <w:bCs/>
      <w:caps/>
      <w:sz w:val="20"/>
      <w:szCs w:val="20"/>
    </w:rPr>
  </w:style>
  <w:style w:type="paragraph" w:styleId="13">
    <w:name w:val="Body Text Indent 3"/>
    <w:basedOn w:val="1"/>
    <w:qFormat/>
    <w:uiPriority w:val="0"/>
    <w:pPr>
      <w:spacing w:after="120"/>
      <w:ind w:left="420" w:leftChars="200"/>
    </w:pPr>
    <w:rPr>
      <w:sz w:val="16"/>
      <w:szCs w:val="16"/>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annotation subject"/>
    <w:basedOn w:val="4"/>
    <w:next w:val="4"/>
    <w:link w:val="32"/>
    <w:semiHidden/>
    <w:unhideWhenUsed/>
    <w:qFormat/>
    <w:uiPriority w:val="0"/>
    <w:rPr>
      <w:b/>
      <w:bCs/>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Emphasis"/>
    <w:basedOn w:val="18"/>
    <w:qFormat/>
    <w:uiPriority w:val="0"/>
    <w:rPr>
      <w:i/>
    </w:rPr>
  </w:style>
  <w:style w:type="character" w:styleId="20">
    <w:name w:val="Hyperlink"/>
    <w:qFormat/>
    <w:uiPriority w:val="0"/>
    <w:rPr>
      <w:color w:val="0000FF"/>
      <w:u w:val="single"/>
    </w:rPr>
  </w:style>
  <w:style w:type="character" w:styleId="21">
    <w:name w:val="annotation reference"/>
    <w:basedOn w:val="18"/>
    <w:unhideWhenUsed/>
    <w:qFormat/>
    <w:uiPriority w:val="0"/>
    <w:rPr>
      <w:sz w:val="21"/>
      <w:szCs w:val="21"/>
    </w:rPr>
  </w:style>
  <w:style w:type="paragraph" w:customStyle="1" w:styleId="22">
    <w:name w:val="特点"/>
    <w:basedOn w:val="1"/>
    <w:next w:val="6"/>
    <w:qFormat/>
    <w:uiPriority w:val="0"/>
    <w:pPr>
      <w:spacing w:line="300" w:lineRule="exact"/>
      <w:ind w:right="26" w:firstLine="435"/>
    </w:pPr>
    <w:rPr>
      <w:rFonts w:eastAsia="黑体"/>
      <w:sz w:val="18"/>
    </w:rPr>
  </w:style>
  <w:style w:type="character" w:customStyle="1" w:styleId="23">
    <w:name w:val="标题 1 Char"/>
    <w:link w:val="2"/>
    <w:qFormat/>
    <w:uiPriority w:val="0"/>
    <w:rPr>
      <w:rFonts w:eastAsia="宋体"/>
      <w:b/>
      <w:bCs/>
      <w:kern w:val="44"/>
      <w:sz w:val="44"/>
      <w:szCs w:val="44"/>
      <w:lang w:val="en-US" w:eastAsia="zh-CN" w:bidi="ar-SA"/>
    </w:rPr>
  </w:style>
  <w:style w:type="character" w:customStyle="1" w:styleId="24">
    <w:name w:val="正文文本缩进 Char"/>
    <w:link w:val="6"/>
    <w:qFormat/>
    <w:uiPriority w:val="0"/>
    <w:rPr>
      <w:rFonts w:eastAsia="宋体"/>
      <w:kern w:val="2"/>
      <w:sz w:val="21"/>
      <w:szCs w:val="24"/>
      <w:lang w:val="en-US" w:eastAsia="zh-CN" w:bidi="ar-SA"/>
    </w:rPr>
  </w:style>
  <w:style w:type="character" w:customStyle="1" w:styleId="25">
    <w:name w:val="正文缩进 Char"/>
    <w:link w:val="3"/>
    <w:qFormat/>
    <w:uiPriority w:val="0"/>
    <w:rPr>
      <w:rFonts w:eastAsia="宋体"/>
      <w:kern w:val="2"/>
      <w:sz w:val="21"/>
      <w:lang w:val="en-US" w:eastAsia="zh-CN" w:bidi="ar-SA"/>
    </w:rPr>
  </w:style>
  <w:style w:type="character" w:customStyle="1" w:styleId="26">
    <w:name w:val="页脚 Char"/>
    <w:link w:val="10"/>
    <w:qFormat/>
    <w:uiPriority w:val="0"/>
    <w:rPr>
      <w:kern w:val="2"/>
      <w:sz w:val="18"/>
      <w:szCs w:val="18"/>
    </w:rPr>
  </w:style>
  <w:style w:type="character" w:customStyle="1" w:styleId="27">
    <w:name w:val="批注框文本 Char"/>
    <w:link w:val="9"/>
    <w:qFormat/>
    <w:uiPriority w:val="0"/>
    <w:rPr>
      <w:kern w:val="2"/>
      <w:sz w:val="18"/>
      <w:szCs w:val="18"/>
    </w:rPr>
  </w:style>
  <w:style w:type="character" w:customStyle="1" w:styleId="28">
    <w:name w:val="日期 Char"/>
    <w:link w:val="7"/>
    <w:qFormat/>
    <w:uiPriority w:val="0"/>
    <w:rPr>
      <w:kern w:val="2"/>
      <w:sz w:val="21"/>
      <w:szCs w:val="24"/>
    </w:rPr>
  </w:style>
  <w:style w:type="paragraph" w:customStyle="1" w:styleId="29">
    <w:name w:val="修订1"/>
    <w:hidden/>
    <w:semiHidden/>
    <w:qFormat/>
    <w:uiPriority w:val="99"/>
    <w:rPr>
      <w:rFonts w:ascii="Times New Roman" w:hAnsi="Times New Roman" w:eastAsia="宋体" w:cs="Times New Roman"/>
      <w:kern w:val="2"/>
      <w:sz w:val="21"/>
      <w:szCs w:val="24"/>
      <w:lang w:val="en-US" w:eastAsia="zh-CN" w:bidi="ar-SA"/>
    </w:rPr>
  </w:style>
  <w:style w:type="paragraph" w:styleId="30">
    <w:name w:val="List Paragraph"/>
    <w:basedOn w:val="1"/>
    <w:qFormat/>
    <w:uiPriority w:val="34"/>
    <w:pPr>
      <w:ind w:firstLine="420" w:firstLineChars="200"/>
    </w:pPr>
  </w:style>
  <w:style w:type="character" w:customStyle="1" w:styleId="31">
    <w:name w:val="批注文字 Char"/>
    <w:basedOn w:val="18"/>
    <w:link w:val="4"/>
    <w:qFormat/>
    <w:uiPriority w:val="99"/>
    <w:rPr>
      <w:kern w:val="2"/>
      <w:sz w:val="21"/>
      <w:szCs w:val="24"/>
    </w:rPr>
  </w:style>
  <w:style w:type="character" w:customStyle="1" w:styleId="32">
    <w:name w:val="批注主题 Char"/>
    <w:basedOn w:val="31"/>
    <w:link w:val="15"/>
    <w:semiHidden/>
    <w:qFormat/>
    <w:uiPriority w:val="0"/>
    <w:rPr>
      <w:b/>
      <w:bCs/>
      <w:kern w:val="2"/>
      <w:sz w:val="21"/>
      <w:szCs w:val="24"/>
    </w:rPr>
  </w:style>
  <w:style w:type="paragraph" w:customStyle="1" w:styleId="33">
    <w:name w:val="引文目录1"/>
    <w:basedOn w:val="1"/>
    <w:next w:val="1"/>
    <w:unhideWhenUsed/>
    <w:qFormat/>
    <w:uiPriority w:val="0"/>
    <w:pPr>
      <w:ind w:left="420" w:leftChars="200"/>
    </w:pPr>
    <w:rPr>
      <w:rFonts w:hint="eastAsia"/>
    </w:rPr>
  </w:style>
  <w:style w:type="paragraph" w:customStyle="1" w:styleId="34">
    <w:name w:val="列表段落1"/>
    <w:basedOn w:val="1"/>
    <w:unhideWhenUsed/>
    <w:qFormat/>
    <w:uiPriority w:val="99"/>
    <w:pPr>
      <w:ind w:firstLine="420" w:firstLineChars="200"/>
    </w:pPr>
  </w:style>
  <w:style w:type="character" w:customStyle="1" w:styleId="35">
    <w:name w:val="fontstyle01"/>
    <w:unhideWhenUsed/>
    <w:qFormat/>
    <w:uiPriority w:val="0"/>
    <w:rPr>
      <w:rFonts w:hint="default" w:ascii="MicrosoftYaHei_PDF_Subset" w:hAnsi="MicrosoftYaHei_PDF_Subset" w:eastAsia="宋体"/>
      <w:color w:val="000000"/>
      <w:sz w:val="20"/>
    </w:rPr>
  </w:style>
  <w:style w:type="paragraph" w:customStyle="1" w:styleId="36">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95910-379E-4DD4-A2CE-56FF4A726197}">
  <ds:schemaRefs/>
</ds:datastoreItem>
</file>

<file path=docProps/app.xml><?xml version="1.0" encoding="utf-8"?>
<Properties xmlns="http://schemas.openxmlformats.org/officeDocument/2006/extended-properties" xmlns:vt="http://schemas.openxmlformats.org/officeDocument/2006/docPropsVTypes">
  <Template>Normal.dotm</Template>
  <Company>WJRCB</Company>
  <Pages>6</Pages>
  <Words>1418</Words>
  <Characters>8085</Characters>
  <Lines>67</Lines>
  <Paragraphs>18</Paragraphs>
  <TotalTime>15</TotalTime>
  <ScaleCrop>false</ScaleCrop>
  <LinksUpToDate>false</LinksUpToDate>
  <CharactersWithSpaces>9485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2023-02-01T07:52:00Z</dcterms:created>
  <dc:creator>user6-scyxb</dc:creator>
  <cp:lastModifiedBy>user</cp:lastModifiedBy>
  <cp:lastPrinted>2018-09-05T08:15:00Z</cp:lastPrinted>
  <dcterms:modified xsi:type="dcterms:W3CDTF">2025-12-29T07:32:19Z</dcterms:modified>
  <dc:title>附件五：理财计划的销售文件，含：产品协议书、产品说明书、风险揭示书、客户风险评估表等</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5D052FFCD3C34EFD960C888C1C826E27</vt:lpwstr>
  </property>
</Properties>
</file>