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苏州农商银</w:t>
      </w:r>
      <w:bookmarkStart w:id="0" w:name="_GoBack"/>
      <w:bookmarkEnd w:id="0"/>
      <w:r>
        <w:rPr>
          <w:rFonts w:hint="eastAsia" w:ascii="黑体" w:hAnsi="黑体" w:eastAsia="黑体" w:cs="黑体"/>
          <w:sz w:val="44"/>
          <w:szCs w:val="44"/>
          <w:lang w:val="en-US" w:eastAsia="zh-CN"/>
        </w:rPr>
        <w:t>行</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2025年度第三支柱信息披露报告</w:t>
      </w:r>
    </w:p>
    <w:p>
      <w:pPr>
        <w:rPr>
          <w:rFonts w:hint="eastAsia" w:ascii="仿宋" w:hAnsi="仿宋" w:eastAsia="仿宋" w:cs="仿宋"/>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本行为非国内系统重要性银行，根据《商业银行资本管理办法》（以下简称“办法”）附件22《商业银行信息披露内容和要求》的规定，本行按照办法第三章规定的并表范围披露相关信息。</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根据办法，公司首次披露相关信息，无需对前期数据追溯披露。本季度公司需披露的报表如下：</w:t>
      </w:r>
    </w:p>
    <w:p>
      <w:pPr>
        <w:ind w:firstLine="640" w:firstLineChars="200"/>
        <w:rPr>
          <w:rFonts w:hint="eastAsia" w:ascii="仿宋" w:hAnsi="仿宋" w:eastAsia="仿宋" w:cs="仿宋"/>
          <w:sz w:val="32"/>
          <w:szCs w:val="32"/>
          <w:lang w:val="en-US" w:eastAsia="zh-CN"/>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附表一：KM1监管并表关键审慎监管指标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756"/>
        <w:gridCol w:w="2115"/>
        <w:gridCol w:w="201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93" w:type="dxa"/>
            <w:gridSpan w:val="2"/>
            <w:vMerge w:val="restart"/>
            <w:tcBorders>
              <w:top w:val="single" w:color="000000" w:sz="4" w:space="0"/>
              <w:left w:val="single" w:color="000000" w:sz="4" w:space="0"/>
            </w:tcBorders>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tc>
        <w:tc>
          <w:tcPr>
            <w:tcW w:w="2115" w:type="dxa"/>
            <w:tcBorders>
              <w:top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a</w:t>
            </w:r>
          </w:p>
        </w:tc>
        <w:tc>
          <w:tcPr>
            <w:tcW w:w="2014" w:type="dxa"/>
            <w:tcBorders>
              <w:top w:val="single" w:color="000000" w:sz="4" w:space="0"/>
              <w:right w:val="single" w:color="000000"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93" w:type="dxa"/>
            <w:gridSpan w:val="2"/>
            <w:vMerge w:val="continue"/>
            <w:tcBorders>
              <w:left w:val="single" w:color="000000"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2115" w:type="dxa"/>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2025年12月31日</w:t>
            </w:r>
          </w:p>
        </w:tc>
        <w:tc>
          <w:tcPr>
            <w:tcW w:w="2014" w:type="dxa"/>
            <w:tcBorders>
              <w:right w:val="single" w:color="000000"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2025年9月30日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6508" w:type="dxa"/>
            <w:gridSpan w:val="3"/>
            <w:tcBorders>
              <w:left w:val="single" w:color="000000" w:sz="4" w:space="0"/>
            </w:tcBorders>
            <w:shd w:val="clear" w:color="000000" w:fill="D9D9D9"/>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b/>
                <w:bCs/>
                <w:color w:val="000000" w:themeColor="text1"/>
                <w:sz w:val="24"/>
                <w:szCs w:val="24"/>
                <w14:textFill>
                  <w14:solidFill>
                    <w14:schemeClr w14:val="tx1"/>
                  </w14:solidFill>
                </w14:textFill>
              </w:rPr>
              <w:t>可用资本（</w:t>
            </w:r>
            <w:r>
              <w:rPr>
                <w:rFonts w:hint="eastAsia" w:ascii="仿宋_GB2312" w:hAnsi="仿宋" w:eastAsia="仿宋_GB2312" w:cs="Arial Unicode MS"/>
                <w:b/>
                <w:bCs/>
                <w:color w:val="000000" w:themeColor="text1"/>
                <w:sz w:val="24"/>
                <w:szCs w:val="24"/>
                <w:lang w:eastAsia="zh-CN"/>
                <w14:textFill>
                  <w14:solidFill>
                    <w14:schemeClr w14:val="tx1"/>
                  </w14:solidFill>
                </w14:textFill>
              </w:rPr>
              <w:t>数</w:t>
            </w:r>
            <w:r>
              <w:rPr>
                <w:rFonts w:hint="eastAsia" w:ascii="仿宋_GB2312" w:hAnsi="仿宋" w:eastAsia="仿宋_GB2312" w:cs="Arial Unicode MS"/>
                <w:b/>
                <w:bCs/>
                <w:color w:val="000000" w:themeColor="text1"/>
                <w:sz w:val="24"/>
                <w:szCs w:val="24"/>
                <w14:textFill>
                  <w14:solidFill>
                    <w14:schemeClr w14:val="tx1"/>
                  </w14:solidFill>
                </w14:textFill>
              </w:rPr>
              <w:t>额）</w:t>
            </w:r>
          </w:p>
        </w:tc>
        <w:tc>
          <w:tcPr>
            <w:tcW w:w="2014" w:type="dxa"/>
            <w:tcBorders>
              <w:right w:val="single" w:color="000000" w:sz="4" w:space="0"/>
            </w:tcBorders>
            <w:shd w:val="clear" w:color="000000" w:fill="D9D9D9"/>
          </w:tcPr>
          <w:p>
            <w:pPr>
              <w:snapToGrid w:val="0"/>
              <w:spacing w:line="480" w:lineRule="exact"/>
              <w:rPr>
                <w:rFonts w:hint="eastAsia" w:ascii="仿宋_GB2312" w:hAnsi="仿宋" w:eastAsia="仿宋_GB2312" w:cs="Arial Unicode MS"/>
                <w:b/>
                <w:bCs/>
                <w:color w:val="000000" w:themeColor="text1"/>
                <w:sz w:val="24"/>
                <w:szCs w:val="24"/>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核心一级资本净额</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17240980</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17123004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2</w:t>
            </w:r>
          </w:p>
        </w:tc>
        <w:tc>
          <w:tcPr>
            <w:tcW w:w="3756"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一级资本</w:t>
            </w:r>
            <w:r>
              <w:rPr>
                <w:rFonts w:hint="eastAsia" w:ascii="仿宋_GB2312" w:hAnsi="仿宋" w:eastAsia="仿宋_GB2312" w:cs="Arial Unicode MS"/>
                <w:color w:val="000000" w:themeColor="text1"/>
                <w:sz w:val="24"/>
                <w:szCs w:val="24"/>
                <w:lang w:eastAsia="zh-CN"/>
                <w14:textFill>
                  <w14:solidFill>
                    <w14:schemeClr w14:val="tx1"/>
                  </w14:solidFill>
                </w14:textFill>
              </w:rPr>
              <w:t>净额</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17241341</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17123367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3</w:t>
            </w:r>
          </w:p>
        </w:tc>
        <w:tc>
          <w:tcPr>
            <w:tcW w:w="3756"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资本</w:t>
            </w:r>
            <w:r>
              <w:rPr>
                <w:rFonts w:hint="eastAsia" w:ascii="仿宋_GB2312" w:hAnsi="仿宋" w:eastAsia="仿宋_GB2312" w:cs="Arial Unicode MS"/>
                <w:color w:val="000000" w:themeColor="text1"/>
                <w:sz w:val="24"/>
                <w:szCs w:val="24"/>
                <w:lang w:eastAsia="zh-CN"/>
                <w14:textFill>
                  <w14:solidFill>
                    <w14:schemeClr w14:val="tx1"/>
                  </w14:solidFill>
                </w14:textFill>
              </w:rPr>
              <w:t>净额</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20669477</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20497719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4393"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115" w:type="dxa"/>
            <w:shd w:val="clear" w:color="000000" w:fill="D9D9D9"/>
            <w:vAlign w:val="top"/>
          </w:tcPr>
          <w:p>
            <w:pPr>
              <w:rPr>
                <w:rFonts w:hint="default" w:ascii="Arial" w:hAnsi="Arial" w:cs="Arial"/>
                <w:sz w:val="24"/>
                <w:szCs w:val="24"/>
              </w:rPr>
            </w:pPr>
          </w:p>
        </w:tc>
        <w:tc>
          <w:tcPr>
            <w:tcW w:w="2014"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4</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风险加权资产</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161954159</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159127752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4393"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115" w:type="dxa"/>
            <w:shd w:val="clear" w:color="000000" w:fill="D9D9D9"/>
            <w:vAlign w:val="top"/>
          </w:tcPr>
          <w:p>
            <w:pPr>
              <w:rPr>
                <w:rFonts w:hint="default" w:ascii="Arial" w:hAnsi="Arial" w:cs="Arial"/>
                <w:sz w:val="24"/>
                <w:szCs w:val="24"/>
              </w:rPr>
            </w:pPr>
          </w:p>
        </w:tc>
        <w:tc>
          <w:tcPr>
            <w:tcW w:w="2014"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5</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核心一级资本充足率（</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10.65</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10.76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6</w:t>
            </w:r>
          </w:p>
        </w:tc>
        <w:tc>
          <w:tcPr>
            <w:tcW w:w="3756"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一级资本充足率（</w:t>
            </w:r>
            <w:r>
              <w:rPr>
                <w:rFonts w:ascii="仿宋_GB2312" w:hAnsi="仿宋" w:eastAsia="仿宋_GB2312" w:cs="Arial Unicode MS"/>
                <w:color w:val="000000" w:themeColor="text1"/>
                <w:sz w:val="24"/>
                <w:szCs w:val="24"/>
                <w14:textFill>
                  <w14:solidFill>
                    <w14:schemeClr w14:val="tx1"/>
                  </w14:solidFill>
                </w14:textFill>
              </w:rPr>
              <w:t>%）</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10.65</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10.76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7</w:t>
            </w:r>
          </w:p>
        </w:tc>
        <w:tc>
          <w:tcPr>
            <w:tcW w:w="3756"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资本充足率（</w:t>
            </w:r>
            <w:r>
              <w:rPr>
                <w:rFonts w:ascii="仿宋_GB2312" w:hAnsi="仿宋" w:eastAsia="仿宋_GB2312" w:cs="Arial Unicode MS"/>
                <w:color w:val="000000" w:themeColor="text1"/>
                <w:sz w:val="24"/>
                <w:szCs w:val="24"/>
                <w14:textFill>
                  <w14:solidFill>
                    <w14:schemeClr w14:val="tx1"/>
                  </w14:solidFill>
                </w14:textFill>
              </w:rPr>
              <w:t>%）</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12.76</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12.88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393"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115" w:type="dxa"/>
            <w:shd w:val="clear" w:color="000000" w:fill="D9D9D9"/>
            <w:vAlign w:val="top"/>
          </w:tcPr>
          <w:p>
            <w:pPr>
              <w:rPr>
                <w:rFonts w:hint="default" w:ascii="Arial" w:hAnsi="Arial" w:cs="Arial"/>
                <w:sz w:val="24"/>
                <w:szCs w:val="24"/>
              </w:rPr>
            </w:pPr>
          </w:p>
        </w:tc>
        <w:tc>
          <w:tcPr>
            <w:tcW w:w="2014"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8</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储备资本要求</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9</w:t>
            </w:r>
          </w:p>
        </w:tc>
        <w:tc>
          <w:tcPr>
            <w:tcW w:w="3756"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逆周期资本要求（</w:t>
            </w:r>
            <w:r>
              <w:rPr>
                <w:rFonts w:ascii="仿宋_GB2312" w:hAnsi="仿宋" w:eastAsia="仿宋_GB2312" w:cs="Arial Unicode MS"/>
                <w:color w:val="000000" w:themeColor="text1"/>
                <w:sz w:val="24"/>
                <w:szCs w:val="24"/>
                <w14:textFill>
                  <w14:solidFill>
                    <w14:schemeClr w14:val="tx1"/>
                  </w14:solidFill>
                </w14:textFill>
              </w:rPr>
              <w:t>%）</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37" w:type="dxa"/>
            <w:tcBorders>
              <w:left w:val="single" w:color="000000" w:sz="4" w:space="0"/>
            </w:tcBorders>
            <w:shd w:val="clear" w:color="auto" w:fill="auto"/>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10</w:t>
            </w:r>
          </w:p>
        </w:tc>
        <w:tc>
          <w:tcPr>
            <w:tcW w:w="3756" w:type="dxa"/>
            <w:shd w:val="clear" w:color="auto" w:fill="auto"/>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115" w:type="dxa"/>
            <w:shd w:val="clear" w:color="auto" w:fill="BEBEBE"/>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c>
          <w:tcPr>
            <w:tcW w:w="2014" w:type="dxa"/>
            <w:tcBorders>
              <w:right w:val="single" w:color="000000" w:sz="4" w:space="0"/>
            </w:tcBorders>
            <w:shd w:val="clear" w:color="auto" w:fill="BEBEBE"/>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11</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其他各级资本要求（</w:t>
            </w:r>
            <w:r>
              <w:rPr>
                <w:rFonts w:ascii="仿宋_GB2312" w:hAnsi="仿宋" w:eastAsia="仿宋_GB2312" w:cs="Arial Unicode MS"/>
                <w:color w:val="000000" w:themeColor="text1"/>
                <w:sz w:val="24"/>
                <w:szCs w:val="24"/>
                <w:lang w:eastAsia="zh-CN"/>
                <w14:textFill>
                  <w14:solidFill>
                    <w14:schemeClr w14:val="tx1"/>
                  </w14:solidFill>
                </w14:textFill>
              </w:rPr>
              <w:t>%）（8+9+10）</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12</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5.65</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5.76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393"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115" w:type="dxa"/>
            <w:shd w:val="clear" w:color="000000" w:fill="D9D9D9"/>
            <w:vAlign w:val="top"/>
          </w:tcPr>
          <w:p>
            <w:pPr>
              <w:rPr>
                <w:rFonts w:hint="default" w:ascii="Arial" w:hAnsi="Arial" w:cs="Arial"/>
                <w:sz w:val="24"/>
                <w:szCs w:val="24"/>
              </w:rPr>
            </w:pPr>
          </w:p>
        </w:tc>
        <w:tc>
          <w:tcPr>
            <w:tcW w:w="2014"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13</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调整后表内外资产余额</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268506194</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260683372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14</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杠杆率</w:t>
            </w:r>
            <w:r>
              <w:rPr>
                <w:rFonts w:hint="eastAsia" w:ascii="仿宋_GB2312" w:hAnsi="仿宋" w:eastAsia="仿宋_GB2312" w:cs="Arial Unicode MS"/>
                <w:color w:val="000000" w:themeColor="text1"/>
                <w:sz w:val="24"/>
                <w:szCs w:val="24"/>
                <w:lang w:eastAsia="zh-CN"/>
                <w14:textFill>
                  <w14:solidFill>
                    <w14:schemeClr w14:val="tx1"/>
                  </w14:solidFill>
                </w14:textFill>
              </w:rPr>
              <w:t>（</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6.42</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6.57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1</w:t>
            </w:r>
            <w:r>
              <w:rPr>
                <w:rFonts w:ascii="仿宋_GB2312" w:hAnsi="仿宋" w:eastAsia="仿宋_GB2312" w:cs="Arial Unicode MS"/>
                <w:color w:val="000000" w:themeColor="text1"/>
                <w:sz w:val="24"/>
                <w:szCs w:val="24"/>
                <w:lang w:eastAsia="zh-CN"/>
                <w14:textFill>
                  <w14:solidFill>
                    <w14:schemeClr w14:val="tx1"/>
                  </w14:solidFill>
                </w14:textFill>
              </w:rPr>
              <w:t>4</w:t>
            </w:r>
            <w:r>
              <w:rPr>
                <w:rFonts w:hint="eastAsia" w:ascii="仿宋_GB2312" w:hAnsi="仿宋" w:eastAsia="仿宋_GB2312" w:cs="Arial Unicode MS"/>
                <w:color w:val="000000" w:themeColor="text1"/>
                <w:sz w:val="24"/>
                <w:szCs w:val="24"/>
                <w:lang w:eastAsia="zh-CN"/>
                <w14:textFill>
                  <w14:solidFill>
                    <w14:schemeClr w14:val="tx1"/>
                  </w14:solidFill>
                </w14:textFill>
              </w:rPr>
              <w:t>a</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杠杆率a</w:t>
            </w:r>
            <w:r>
              <w:rPr>
                <w:rFonts w:hint="eastAsia" w:ascii="仿宋_GB2312" w:hAnsi="仿宋" w:eastAsia="仿宋_GB2312" w:cs="Arial Unicode MS"/>
                <w:color w:val="000000" w:themeColor="text1"/>
                <w:sz w:val="24"/>
                <w:szCs w:val="24"/>
                <w:lang w:eastAsia="zh-CN"/>
                <w14:textFill>
                  <w14:solidFill>
                    <w14:schemeClr w14:val="tx1"/>
                  </w14:solidFill>
                </w14:textFill>
              </w:rPr>
              <w:t>（</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6.42</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6.57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393"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115" w:type="dxa"/>
            <w:shd w:val="clear" w:color="000000" w:fill="D9D9D9"/>
            <w:vAlign w:val="top"/>
          </w:tcPr>
          <w:p>
            <w:pPr>
              <w:rPr>
                <w:rFonts w:hint="default" w:ascii="Arial" w:hAnsi="Arial" w:cs="Arial"/>
                <w:sz w:val="24"/>
                <w:szCs w:val="24"/>
              </w:rPr>
            </w:pPr>
          </w:p>
        </w:tc>
        <w:tc>
          <w:tcPr>
            <w:tcW w:w="2014"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15</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合格优质流动性资产</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23511653</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29542140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16</w:t>
            </w:r>
          </w:p>
        </w:tc>
        <w:tc>
          <w:tcPr>
            <w:tcW w:w="3756"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现金净流出</w:t>
            </w:r>
            <w:r>
              <w:rPr>
                <w:rFonts w:hint="eastAsia" w:ascii="仿宋_GB2312" w:hAnsi="仿宋" w:eastAsia="仿宋_GB2312" w:cs="Arial Unicode MS"/>
                <w:color w:val="000000" w:themeColor="text1"/>
                <w:sz w:val="24"/>
                <w:szCs w:val="24"/>
                <w:lang w:eastAsia="zh-CN"/>
                <w14:textFill>
                  <w14:solidFill>
                    <w14:schemeClr w14:val="tx1"/>
                  </w14:solidFill>
                </w14:textFill>
              </w:rPr>
              <w:t>量</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16253277</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24818881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17</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流动性覆盖率（</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144.66</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119.03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393"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115" w:type="dxa"/>
            <w:shd w:val="clear" w:color="000000" w:fill="D9D9D9"/>
            <w:vAlign w:val="top"/>
          </w:tcPr>
          <w:p>
            <w:pPr>
              <w:rPr>
                <w:rFonts w:hint="default" w:ascii="Arial" w:hAnsi="Arial" w:cs="Arial"/>
                <w:sz w:val="24"/>
                <w:szCs w:val="24"/>
              </w:rPr>
            </w:pPr>
          </w:p>
        </w:tc>
        <w:tc>
          <w:tcPr>
            <w:tcW w:w="2014" w:type="dxa"/>
            <w:tcBorders>
              <w:right w:val="single" w:color="000000" w:sz="4" w:space="0"/>
            </w:tcBorders>
            <w:shd w:val="clear" w:color="000000" w:fill="D9D9D9"/>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18</w:t>
            </w:r>
          </w:p>
        </w:tc>
        <w:tc>
          <w:tcPr>
            <w:tcW w:w="3756"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可用稳定资金</w:t>
            </w:r>
            <w:r>
              <w:rPr>
                <w:rFonts w:hint="eastAsia" w:ascii="仿宋_GB2312" w:hAnsi="仿宋" w:eastAsia="仿宋_GB2312" w:cs="Arial Unicode MS"/>
                <w:color w:val="000000" w:themeColor="text1"/>
                <w:sz w:val="24"/>
                <w:szCs w:val="24"/>
                <w:lang w:eastAsia="zh-CN"/>
                <w14:textFill>
                  <w14:solidFill>
                    <w14:schemeClr w14:val="tx1"/>
                  </w14:solidFill>
                </w14:textFill>
              </w:rPr>
              <w:t>合计</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167528030</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166983149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19</w:t>
            </w:r>
          </w:p>
        </w:tc>
        <w:tc>
          <w:tcPr>
            <w:tcW w:w="3756"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所需</w:t>
            </w:r>
            <w:r>
              <w:rPr>
                <w:rFonts w:hint="eastAsia" w:ascii="仿宋_GB2312" w:hAnsi="仿宋" w:eastAsia="仿宋_GB2312" w:cs="Arial Unicode MS"/>
                <w:color w:val="000000" w:themeColor="text1"/>
                <w:sz w:val="24"/>
                <w:szCs w:val="24"/>
                <w14:textFill>
                  <w14:solidFill>
                    <w14:schemeClr w14:val="tx1"/>
                  </w14:solidFill>
                </w14:textFill>
              </w:rPr>
              <w:t>稳定资金</w:t>
            </w:r>
            <w:r>
              <w:rPr>
                <w:rFonts w:hint="eastAsia" w:ascii="仿宋_GB2312" w:hAnsi="仿宋" w:eastAsia="仿宋_GB2312" w:cs="Arial Unicode MS"/>
                <w:color w:val="000000" w:themeColor="text1"/>
                <w:sz w:val="24"/>
                <w:szCs w:val="24"/>
                <w:lang w:eastAsia="zh-CN"/>
                <w14:textFill>
                  <w14:solidFill>
                    <w14:schemeClr w14:val="tx1"/>
                  </w14:solidFill>
                </w14:textFill>
              </w:rPr>
              <w:t>合计</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105849267</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105037028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20</w:t>
            </w:r>
          </w:p>
        </w:tc>
        <w:tc>
          <w:tcPr>
            <w:tcW w:w="3756"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净稳定资金比例（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115" w:type="dxa"/>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158.27</w:t>
            </w:r>
          </w:p>
        </w:tc>
        <w:tc>
          <w:tcPr>
            <w:tcW w:w="2014" w:type="dxa"/>
            <w:tcBorders>
              <w:right w:val="single" w:color="000000"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158.98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393" w:type="dxa"/>
            <w:gridSpan w:val="2"/>
            <w:tcBorders>
              <w:left w:val="single" w:color="000000" w:sz="4" w:space="0"/>
            </w:tcBorders>
            <w:shd w:val="clear" w:color="auto" w:fill="D8D8D8"/>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2115" w:type="dxa"/>
            <w:shd w:val="clear" w:color="auto" w:fill="D8D8D8"/>
            <w:vAlign w:val="top"/>
          </w:tcPr>
          <w:p>
            <w:pPr>
              <w:rPr>
                <w:rFonts w:hint="default" w:ascii="Arial" w:hAnsi="Arial" w:cs="Arial"/>
                <w:sz w:val="24"/>
                <w:szCs w:val="24"/>
              </w:rPr>
            </w:pPr>
          </w:p>
        </w:tc>
        <w:tc>
          <w:tcPr>
            <w:tcW w:w="2014" w:type="dxa"/>
            <w:tcBorders>
              <w:right w:val="single" w:color="000000" w:sz="4" w:space="0"/>
            </w:tcBorders>
            <w:shd w:val="clear" w:color="auto" w:fill="D8D8D8"/>
            <w:vAlign w:val="top"/>
          </w:tcPr>
          <w:p>
            <w:pPr>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bottom w:val="single" w:color="000000" w:sz="4" w:space="0"/>
            </w:tcBorders>
            <w:shd w:val="clear" w:color="auto" w:fill="FFFFFF"/>
            <w:vAlign w:val="center"/>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21</w:t>
            </w:r>
          </w:p>
        </w:tc>
        <w:tc>
          <w:tcPr>
            <w:tcW w:w="3756" w:type="dxa"/>
            <w:tcBorders>
              <w:bottom w:val="single" w:color="000000" w:sz="4" w:space="0"/>
            </w:tcBorders>
            <w:shd w:val="clear" w:color="auto" w:fill="FFFFFF"/>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流动性比例（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2115" w:type="dxa"/>
            <w:tcBorders>
              <w:bottom w:val="single" w:color="000000" w:sz="4" w:space="0"/>
            </w:tcBorders>
            <w:shd w:val="clear" w:color="auto" w:fill="FFFFFF"/>
            <w:vAlign w:val="bottom"/>
          </w:tcPr>
          <w:p>
            <w:pPr>
              <w:keepNext w:val="0"/>
              <w:keepLines w:val="0"/>
              <w:widowControl/>
              <w:suppressLineNumbers w:val="0"/>
              <w:jc w:val="center"/>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83.23</w:t>
            </w:r>
          </w:p>
        </w:tc>
        <w:tc>
          <w:tcPr>
            <w:tcW w:w="2014" w:type="dxa"/>
            <w:tcBorders>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88.51</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360" w:lineRule="auto"/>
        <w:jc w:val="lef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附表二：OV</w:t>
      </w:r>
      <w:r>
        <w:rPr>
          <w:rFonts w:hint="eastAsia" w:ascii="楷体" w:hAnsi="楷体" w:eastAsia="楷体" w:cs="楷体"/>
          <w:color w:val="000000" w:themeColor="text1"/>
          <w:sz w:val="30"/>
          <w:szCs w:val="30"/>
          <w:lang w:val="en-US" w:eastAsia="zh-CN"/>
          <w14:textFill>
            <w14:solidFill>
              <w14:schemeClr w14:val="tx1"/>
            </w14:solidFill>
          </w14:textFill>
        </w:rPr>
        <w:t>A</w:t>
      </w:r>
      <w:r>
        <w:rPr>
          <w:rFonts w:hint="eastAsia" w:ascii="楷体" w:hAnsi="楷体" w:eastAsia="楷体" w:cs="楷体"/>
          <w:color w:val="000000" w:themeColor="text1"/>
          <w:sz w:val="30"/>
          <w:szCs w:val="30"/>
          <w:lang w:eastAsia="zh-CN"/>
          <w14:textFill>
            <w14:solidFill>
              <w14:schemeClr w14:val="tx1"/>
            </w14:solidFill>
          </w14:textFill>
        </w:rPr>
        <w:t>风险管理定性信息</w:t>
      </w:r>
    </w:p>
    <w:p>
      <w:pPr>
        <w:snapToGrid w:val="0"/>
        <w:spacing w:line="480" w:lineRule="exact"/>
        <w:ind w:firstLine="600" w:firstLineChars="200"/>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1.商业银行的业务模式如何决定其整体风险状况,业务模式与风险状况间、风险状况与董事会批准的风险容忍度间如何相互影响。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慎合规、稳中求进是全行工作总基调。本行坚持稳中求进、以进促稳、先立后破，有力有序有效推进“三一五”战略规划的落地。结合市场和宏观经济变化，基于全行经营发展理念、战略发展方向制定风险管理策略，明确全行风险偏好。通过制定《风险偏好陈述书》结合限额管理，将全行风险管理策略有效传导至全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风险偏好的制定涵盖区域、行业、客户、产品等限额管理，涉及信用风险、集中度风险、流动性风险、市场风险等主要风险类型。全行风险偏好定性指标和定量指标并重，定性和定量考核与战略目标、经营计划、资本规划、绩效考评和薪酬机制相衔接。通过制度体系的完善，规范组织架构和职责分工，以合理界定董事会、高级管理层和首席风险官、业务条线、风险部门在制定和实施风险偏好过程中的职责。通过完善全行风险偏好管理机制和报告机制，及时有效依据业务规模、复杂程度、风险状况的变化，对风险偏好进行调整。通过按季汇报风险偏好限额管理情况和线上偏好限额管理系统监测分析各业务条线、分支机构、附属机构执行情况。按季组织、召开风险管理及内部控制委员会评估全行风险偏好执行情况；按季向董事会、高级管理层汇报全行风险偏好执行情况。</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2.风险治理架构。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以来本行按照《中华人民共和国公司法》等法律法规要求，推进公司治理改革。2025年7月本行召开股东大会审议通过《关于不再设立监事会的议案》及《关于修订&lt;公司章程&gt;的议案》，并于2025年8月获得国家金融监督管理总局苏州金融监管分局相关批复，正式撤销监事会。自此，本行形成了以股东大会、董事会和高级管理层为主体的治理架构，并由董事会下设审计委员会行使《公司法》和监管制度规定的原属于监事会的职权。各治理主体分别按照法律法规及《公司章程》明确的职责定位和工作规则，各司其职、协调运转、有效制衡。股东大会作为最高权力机构，负责重大事项的审批和决策。董事会作为公司的决策机构，对股东大会负责，主要负责制定发展战略，强化风险管理、进行财务控制、授权并督促高级管理层开展经营活动。董事会下设审计委员会等专门委员会，其中审计委员会负责对公司财务、内部控制、风险管理及合规管理等进行监督。高级管理层按照董事会所授权限，组织开展全行的业务经营和管理活动，执行董事会决议，并向董事会报告工作。本行通过上述治理架构的优化，确保了决策、执行、监督各环节的有效性，为公司持续稳健发展提供了坚实的治理保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本行坚持将党的领导融入公司治理各个环节，不断完善“双向进入、交叉任职”领导体制，符合条件的党委班子成员可以通过法定程序进入董事会、高级管理层，董事会、高级管理层中符合条件的党员可以依照有关规定和程序进入党委。本行党委切实发挥把方向、管大局、保落实的领导作用,重点管政治方向、领导班子、基本制度、重大决策和党的建设，切实承担从严管党治党责任，重大经营管理事项必须经党委研究讨论后，再由董事会或高级管理层作出决定，充分发挥党委领导核心作用。</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3.风险文化传递途径。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本行推行审慎稳健的风险文化，从管理制度、培训机制、风险评估三个层面建立风险文化体系，全方位提升员工的风控意识。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（1）制度规范引导。制定《操作风险管理办法》《员工合规守则》《员工异常行为管理实施细则》等一系列制度，明确操作风险管理职责和员工行为规范，将风险文化融入日常操作流程。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（2）培训教育强化。定期开展合规教育活动，借助线上线下多渠道开展合规知识教育，全行范围组织每日答题活动，利用 “怀德家园” 微信公众号、云端学习线上平台等多样化形式，潜移默化深植合规文化，使风险文化深入人心。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风险评估推动。各部门、分支机构定期开展操作风险识别评估，采用流程分析法等多种方法，分析风险并制定应对策略。在新产品、新业务推出前进行全面风险评估，增强对风险的认知和应对能力，将风险文化贯穿业务发展全过程。</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4.风险计量体系的计量范围和主要特点。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结合监管要求及风险管理实践建立风险计量体系，将信用风险、市场风险、操作风险、集中度风险、流动性风险、声誉风险和战略风险直接认定为主要风险。本行对主要风险计量涵盖各主要风险的风险水平与管理能力，以定性和定量相结合的方式客观准确地评估各类风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风险水平评估是基于各风险的资本计量方法，结合相关定量指标或定性描述，对风险水平进行评估或计量。首先，参照监管要求及本行风险信息、数据情况确定各主要风险的风险水平资本附加上限。之后，选取可以反映该类风险高低的指标和关键风险要素建立风险水平评分卡，将风险水平定性分数转化为百分比(%)得出资本附加调整系数。最后，采用资本附加调整系数调整资本附加上限，得到该风险的风险水平资本附加需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风险管理能力评估是指针对各主要风险管理事项，参考监管指引要求设置评估打分卡，对各类风险和事项的管理制度健全性及管理执行情况进行评估。首先，本行将风险水平资本附加上限作为风险管理能力评估资本附加上限。接着，按风险实质性大小分配评估权重作为各风险及事项的管理能力评估资本附加上限。之后，开展风险管理能力自评估，涵盖治理架构与职责分工、政策制度、管理流程与工作方法、数据、报告与系统等方面。最后，采用各风险及事项的管理能力评估结果调整其资本附加上限，确定风险管理能力资本附加比例。</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5.向董事会和高级管理层提交风险报告的流程，特别是报告风险暴露范围和主要内容的流程。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建立风险管理报告制度。对于风险管理定期报告、重大风险事件报告等的报告内容、路径及事件要求等作了明确。定期报告指定期评估全面风险管理情况、单项风险管理情况的报告。由各机构提交风险管理部汇总汇报高级管理层及董事会。重大风险事件报告指在发生对本行经营管理造成重大影响的事件时所提交的分析报告，由分支机构或各类风险归口部门提交风险管理部，由风险管理部提交高级管理层或董事会。</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6.压力测试情况。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建立压力测试体系，明确压力测试的治理结构、政策文档、方法流程、情景设计、保障支持、验证评估以及压力测试结果运用。开展包括但不限于：偿付能力敏感性压力测试，通过考察整体及重点领域风险状况恶化对本行整体资本充足水平的不利影响，开展自上而下压力测试，评估内部资本充足情况；流动性风险压力测试，考察政策因素、宏观经济因素、突发因素等多种流动性风险压力因素对银行各到期期限的现金流缺口的影响，并据此调整业务经营、约束资产扩张的情况；市场风险压力测试，考察银行间债券市场收益率曲线整体平移以及不同年期债券在市场变动中可能出现的不同走势，对本行可供出售类账户和交易类账户资产价值的影响，测试本行持仓债券市场风险承压能力，并据此提出相应的风险控制建议。</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7.识别、计量、监测、缓释和控制风险的策略及流程。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建立健全完善的风险管理制度体系，并定期开展评估，及时根据外规要求或内部实际，进行修订完善或查漏补缺。对于包括信用风险、市场风险、流动性风险、操作风险在内的各类风险采取定性管理和定量管理的方法。通过对各类风险依据行内偏好设定定量限额管理。按季对限额指标监控，调节异常指标，控制风险规模、调整业务结构。按年对各类风险管理进行定性评价。通过管理模式、管理流程、管理成果进行作证评估。评估管理模式合理性、管理流程有效性和管理成果有效性。</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建立健全风险隔离制度、跨部门风险管理机制。通过部门信息共享、协调管理。例如市场风险中存在企业债券违约、信贷系统第一时间推送企业债券违约风险预警提示，督促客户经理尽快落实贷款信用风险核查，包括但不限于企业征信情况、抵质押物充足性等。实现跨部门、跨风险监测，防止风险传染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建立风险加总的政策、程序。本行构建统一规范的风险数据集市，积累信用风险、操作风险、市场风险等重点风险领域数据，能够从各主要维度组合层面汇总获取全部相关数据，识别和报告风险敞口、集中度和潜在风险情况等。</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8.内部资本充足评估的方法和程序。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监管要求，本行建立完善的ICAAP治理架构和管理流程、政策制度体系和风险偏好体系，逐步完善主要风险识别与评估机制，结合中长期及压力情景下的资本需求，制定未来三年资本管理规划和应急预案，确保资本水平与面临的主要风险及风险管理水平相适应，资本管理规划与经营状况、风险变化趋势和长期发展战略相匹配，确保银行可持续发展和稳健经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本行内部资本充足评估工作是在董事会及其下设风险管理及关联交易控制委员会的领导下开展的，治理架构还包括高级管理层及其下设资产负债委员会、相关职能部门。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本行充分分析宏观经济环境、本行经营战略、外部监管要求，严格审慎制定新一年度风险偏好指标体系，编写全行风险偏好陈述书，其中，对资本充足率偏好限额进行了科学评估及设定。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风险评估工作包括主要风险识别、主要风险评估和确定第二支柱资本附加水平。在开展年度风险评估时，本行首先运用定量与定性相结合的分析方法，识别本行未来一年所面临的主要风险类型；此后，对各类主要风险的风险水平与管理能力进行评估，并依据评估结果，确定本行第二支柱资本附加水平。</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本行已初步建立资本充足率压力测试管理流程与工作方案，明确了压力情景设置、压力传导、结果汇总、分析、报告等核心工作流程及主要方法，制定切实有效的应急响应方案。</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9.资本规划和资本充足率管理计划。</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资本规划整体把握适应经济发展新常态、有效满足监管要求、风险管理能力与资本充足水平相适应、平衡股东综合回报与业务持续健康发展的原则，综合考虑宏观经济环境、区域经济环境、国内监管环境、本行战略发展需要、支持实体经济发展、响应乡村振兴战略等因素。每年由风险管理及关联交易控制委员会制定全年的资本充足率水平管理目标、分层预警线及风险偏好，经董事会决议。资产负债管理委员会根据管理目标，制定近三年的长期资本规划，并根据结果制定相应的资本补充规划方案，提交董事会审议，确保全行资本长期保持相对充足稳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行每年结合全面预算方案，制定年度资本充足率管理计划，并经资产负债管理委员会审议。同时通过常态化的监测、分析及动态调整机制，保证资本充足率指标满足监管要求，资本充足水平满足全行日常经营发展需要，确保全行拥有足够资本以抵御所面临的非预期风险。</w:t>
      </w: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附表三：OV1风险加权资产概况</w:t>
      </w: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7" w:type="dxa"/>
        <w:tblInd w:w="0" w:type="dxa"/>
        <w:tblLayout w:type="fixed"/>
        <w:tblCellMar>
          <w:top w:w="0" w:type="dxa"/>
          <w:left w:w="108" w:type="dxa"/>
          <w:bottom w:w="0" w:type="dxa"/>
          <w:right w:w="108" w:type="dxa"/>
        </w:tblCellMar>
      </w:tblPr>
      <w:tblGrid>
        <w:gridCol w:w="478"/>
        <w:gridCol w:w="1746"/>
        <w:gridCol w:w="2130"/>
        <w:gridCol w:w="2040"/>
        <w:gridCol w:w="2132"/>
        <w:gridCol w:w="1"/>
      </w:tblGrid>
      <w:tr>
        <w:tblPrEx>
          <w:tblLayout w:type="fixed"/>
          <w:tblCellMar>
            <w:top w:w="0" w:type="dxa"/>
            <w:left w:w="108" w:type="dxa"/>
            <w:bottom w:w="0" w:type="dxa"/>
            <w:right w:w="108" w:type="dxa"/>
          </w:tblCellMar>
        </w:tblPrEx>
        <w:trPr>
          <w:gridAfter w:val="1"/>
          <w:wAfter w:w="1" w:type="dxa"/>
          <w:trHeight w:val="330" w:hRule="atLeast"/>
        </w:trPr>
        <w:tc>
          <w:tcPr>
            <w:tcW w:w="2224" w:type="dxa"/>
            <w:gridSpan w:val="2"/>
            <w:vMerge w:val="restart"/>
            <w:tcBorders>
              <w:top w:val="single" w:color="000000" w:sz="4" w:space="0"/>
              <w:left w:val="single" w:color="000000"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tc>
        <w:tc>
          <w:tcPr>
            <w:tcW w:w="2130" w:type="dxa"/>
            <w:tcBorders>
              <w:top w:val="single" w:color="000000" w:sz="4" w:space="0"/>
              <w:left w:val="nil"/>
              <w:bottom w:val="single" w:color="auto" w:sz="4" w:space="0"/>
              <w:righ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a</w:t>
            </w:r>
          </w:p>
        </w:tc>
        <w:tc>
          <w:tcPr>
            <w:tcW w:w="2040" w:type="dxa"/>
            <w:tcBorders>
              <w:top w:val="single" w:color="000000"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b</w:t>
            </w:r>
          </w:p>
        </w:tc>
        <w:tc>
          <w:tcPr>
            <w:tcW w:w="2132" w:type="dxa"/>
            <w:tcBorders>
              <w:top w:val="single" w:color="000000" w:sz="4" w:space="0"/>
              <w:left w:val="single" w:color="auto" w:sz="4" w:space="0"/>
              <w:bottom w:val="single" w:color="auto" w:sz="4" w:space="0"/>
              <w:righ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c</w:t>
            </w:r>
          </w:p>
        </w:tc>
      </w:tr>
      <w:tr>
        <w:tblPrEx>
          <w:tblLayout w:type="fixed"/>
          <w:tblCellMar>
            <w:top w:w="0" w:type="dxa"/>
            <w:left w:w="108" w:type="dxa"/>
            <w:bottom w:w="0" w:type="dxa"/>
            <w:right w:w="108" w:type="dxa"/>
          </w:tblCellMar>
        </w:tblPrEx>
        <w:trPr>
          <w:gridAfter w:val="1"/>
          <w:wAfter w:w="1" w:type="dxa"/>
          <w:trHeight w:val="330" w:hRule="atLeast"/>
        </w:trPr>
        <w:tc>
          <w:tcPr>
            <w:tcW w:w="2224" w:type="dxa"/>
            <w:gridSpan w:val="2"/>
            <w:vMerge w:val="continue"/>
            <w:tcBorders>
              <w:left w:val="single" w:color="000000"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4170" w:type="dxa"/>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风险加权资产</w:t>
            </w:r>
          </w:p>
        </w:tc>
        <w:tc>
          <w:tcPr>
            <w:tcW w:w="2132" w:type="dxa"/>
            <w:tcBorders>
              <w:top w:val="single" w:color="auto" w:sz="4" w:space="0"/>
              <w:left w:val="single" w:color="auto" w:sz="4" w:space="0"/>
              <w:bottom w:val="single" w:color="auto" w:sz="4" w:space="0"/>
              <w:right w:val="single" w:color="000000" w:sz="4" w:space="0"/>
            </w:tcBorders>
            <w:vAlign w:val="center"/>
          </w:tcPr>
          <w:p>
            <w:pPr>
              <w:snapToGrid w:val="0"/>
              <w:spacing w:line="480" w:lineRule="exact"/>
              <w:ind w:left="-295" w:firstLine="295"/>
              <w:jc w:val="center"/>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最低资本要求</w:t>
            </w:r>
          </w:p>
        </w:tc>
      </w:tr>
      <w:tr>
        <w:tblPrEx>
          <w:tblLayout w:type="fixed"/>
          <w:tblCellMar>
            <w:top w:w="0" w:type="dxa"/>
            <w:left w:w="108" w:type="dxa"/>
            <w:bottom w:w="0" w:type="dxa"/>
            <w:right w:w="108" w:type="dxa"/>
          </w:tblCellMar>
        </w:tblPrEx>
        <w:trPr>
          <w:gridAfter w:val="1"/>
          <w:wAfter w:w="1" w:type="dxa"/>
          <w:trHeight w:val="330" w:hRule="atLeast"/>
        </w:trPr>
        <w:tc>
          <w:tcPr>
            <w:tcW w:w="2224" w:type="dxa"/>
            <w:gridSpan w:val="2"/>
            <w:vMerge w:val="continue"/>
            <w:tcBorders>
              <w:left w:val="single" w:color="000000" w:sz="4" w:space="0"/>
              <w:bottom w:val="single" w:color="auto"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2130" w:type="dxa"/>
            <w:tcBorders>
              <w:top w:val="nil"/>
              <w:left w:val="nil"/>
              <w:bottom w:val="single" w:color="auto" w:sz="4" w:space="0"/>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2025年12月31日</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2025年9月30日</w:t>
            </w:r>
          </w:p>
        </w:tc>
        <w:tc>
          <w:tcPr>
            <w:tcW w:w="2132" w:type="dxa"/>
            <w:tcBorders>
              <w:top w:val="single" w:color="auto" w:sz="4" w:space="0"/>
              <w:left w:val="single" w:color="auto" w:sz="4" w:space="0"/>
              <w:bottom w:val="single" w:color="auto" w:sz="4" w:space="0"/>
              <w:righ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2025年12月31日</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w:t>
            </w:r>
          </w:p>
        </w:tc>
        <w:tc>
          <w:tcPr>
            <w:tcW w:w="1746"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信用风险</w:t>
            </w:r>
          </w:p>
        </w:tc>
        <w:tc>
          <w:tcPr>
            <w:tcW w:w="213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153442928</w:t>
            </w:r>
          </w:p>
        </w:tc>
        <w:tc>
          <w:tcPr>
            <w:tcW w:w="20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150134356</w:t>
            </w:r>
          </w:p>
        </w:tc>
        <w:tc>
          <w:tcPr>
            <w:tcW w:w="213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12275434</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2</w:t>
            </w:r>
          </w:p>
        </w:tc>
        <w:tc>
          <w:tcPr>
            <w:tcW w:w="1746"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市场风险</w:t>
            </w:r>
          </w:p>
        </w:tc>
        <w:tc>
          <w:tcPr>
            <w:tcW w:w="213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1554854</w:t>
            </w:r>
          </w:p>
        </w:tc>
        <w:tc>
          <w:tcPr>
            <w:tcW w:w="20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1525619</w:t>
            </w:r>
          </w:p>
        </w:tc>
        <w:tc>
          <w:tcPr>
            <w:tcW w:w="213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124388</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3</w:t>
            </w:r>
          </w:p>
        </w:tc>
        <w:tc>
          <w:tcPr>
            <w:tcW w:w="1746"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操作风险</w:t>
            </w:r>
          </w:p>
        </w:tc>
        <w:tc>
          <w:tcPr>
            <w:tcW w:w="213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6956378</w:t>
            </w:r>
          </w:p>
        </w:tc>
        <w:tc>
          <w:tcPr>
            <w:tcW w:w="20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7467778</w:t>
            </w:r>
          </w:p>
        </w:tc>
        <w:tc>
          <w:tcPr>
            <w:tcW w:w="213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556510</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4</w:t>
            </w:r>
          </w:p>
        </w:tc>
        <w:tc>
          <w:tcPr>
            <w:tcW w:w="1746"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交易账簿和银行账簿间转换的资本要求</w:t>
            </w:r>
          </w:p>
        </w:tc>
        <w:tc>
          <w:tcPr>
            <w:tcW w:w="2130" w:type="dxa"/>
            <w:tcBorders>
              <w:top w:val="nil"/>
              <w:left w:val="nil"/>
              <w:bottom w:val="single" w:color="auto"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20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c>
          <w:tcPr>
            <w:tcW w:w="2133"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000000"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5</w:t>
            </w:r>
          </w:p>
        </w:tc>
        <w:tc>
          <w:tcPr>
            <w:tcW w:w="1746" w:type="dxa"/>
            <w:tcBorders>
              <w:top w:val="nil"/>
              <w:left w:val="single" w:color="auto" w:sz="4" w:space="0"/>
              <w:bottom w:val="single" w:color="000000" w:sz="4" w:space="0"/>
              <w:right w:val="single" w:color="auto" w:sz="4" w:space="0"/>
            </w:tcBorders>
            <w:vAlign w:val="center"/>
          </w:tcPr>
          <w:p>
            <w:pPr>
              <w:snapToGrid w:val="0"/>
              <w:spacing w:line="480" w:lineRule="exact"/>
              <w:rPr>
                <w:rFonts w:ascii="仿宋_GB2312" w:hAnsi="仿宋" w:eastAsia="仿宋_GB2312" w:cs="Arial Unicode MS"/>
                <w:b/>
                <w:bCs/>
                <w:color w:val="000000" w:themeColor="text1"/>
                <w:sz w:val="24"/>
                <w:szCs w:val="24"/>
                <w:lang w:eastAsia="zh-CN"/>
                <w14:textFill>
                  <w14:solidFill>
                    <w14:schemeClr w14:val="tx1"/>
                  </w14:solidFill>
                </w14:textFill>
              </w:rPr>
            </w:pPr>
            <w:r>
              <w:rPr>
                <w:rFonts w:hint="eastAsia" w:ascii="仿宋_GB2312" w:hAnsi="仿宋" w:eastAsia="仿宋_GB2312" w:cs="Arial Unicode MS"/>
                <w:b/>
                <w:bCs/>
                <w:color w:val="000000" w:themeColor="text1"/>
                <w:sz w:val="24"/>
                <w:szCs w:val="24"/>
                <w:lang w:eastAsia="zh-CN"/>
                <w14:textFill>
                  <w14:solidFill>
                    <w14:schemeClr w14:val="tx1"/>
                  </w14:solidFill>
                </w14:textFill>
              </w:rPr>
              <w:t>合计</w:t>
            </w:r>
          </w:p>
        </w:tc>
        <w:tc>
          <w:tcPr>
            <w:tcW w:w="2130" w:type="dxa"/>
            <w:tcBorders>
              <w:top w:val="nil"/>
              <w:left w:val="nil"/>
              <w:bottom w:val="single" w:color="000000" w:sz="4" w:space="0"/>
              <w:right w:val="single" w:color="auto"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161954159</w:t>
            </w:r>
          </w:p>
        </w:tc>
        <w:tc>
          <w:tcPr>
            <w:tcW w:w="2040" w:type="dxa"/>
            <w:tcBorders>
              <w:top w:val="single" w:color="auto" w:sz="4" w:space="0"/>
              <w:left w:val="single" w:color="auto" w:sz="4" w:space="0"/>
              <w:bottom w:val="single" w:color="000000" w:sz="4" w:space="0"/>
              <w:right w:val="single" w:color="auto"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159127752</w:t>
            </w:r>
          </w:p>
        </w:tc>
        <w:tc>
          <w:tcPr>
            <w:tcW w:w="2133" w:type="dxa"/>
            <w:gridSpan w:val="2"/>
            <w:tcBorders>
              <w:top w:val="single" w:color="auto" w:sz="4" w:space="0"/>
              <w:left w:val="single" w:color="auto" w:sz="4" w:space="0"/>
              <w:bottom w:val="single" w:color="000000" w:sz="4" w:space="0"/>
              <w:right w:val="single" w:color="000000" w:sz="4" w:space="0"/>
            </w:tcBorders>
            <w:vAlign w:val="bottom"/>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12956333</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附表四：资本构成</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0"/>
        <w:gridCol w:w="5895"/>
        <w:gridCol w:w="1275"/>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6415" w:type="dxa"/>
            <w:gridSpan w:val="2"/>
            <w:vMerge w:val="restar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1275" w:type="dxa"/>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a</w:t>
            </w:r>
          </w:p>
        </w:tc>
        <w:tc>
          <w:tcPr>
            <w:tcW w:w="646"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6415" w:type="dxa"/>
            <w:gridSpan w:val="2"/>
            <w:vMerge w:val="continue"/>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数额</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核心一级资本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实收资本和资本公积可计入部分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4505300 </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e+g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留存收益</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13210446 </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2a</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盈余公积</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5979068 </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2b</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一般风险准备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4598115 </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2c</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未分配利润</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2633263 </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累计其他综合收益</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588903 </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少数股东资本可计入部分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2708 </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扣除前的核心一级资本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18307357 </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核心一级资本：扣除项</w:t>
            </w:r>
            <w:r>
              <w:rPr>
                <w:rStyle w:val="4"/>
                <w:rFonts w:hAnsi="宋体"/>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审慎估值调整</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商誉（扣除递延税负债）</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其他无形资产（土地使用权除外）（扣除递延税负债）</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324457 </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依赖未来盈利的由经营亏损引起的净递延税资产</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对未按公允价值计量的项目进行套期形成的现金流储备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损失准备缺口</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资产证券化销售利得</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自身信用风险变化导致其负债公允价值变化带来的未实现损益</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确定受益类的养老金资产净额（扣除递延税负债）</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直接或间接持有本银行的股票</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银行间或银行与其他金融机构间通过协议相互持有的核心一级资本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对未并表金融机构小额少数资本投资中的核心一级资本中应扣除金额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对未并表金融机构大额少数资本投资中的核心一级资本中应扣除金额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101022</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其他依赖于银行未来盈利的净递延税资产中应扣除金额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对未并表金融机构大额少数资本投资中的核心一级资本和其他依赖于银行未来盈利的净递延税资产的未扣除部分超过核心一级资本15%的应扣除金额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640899</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其中：应在对金融机构大额少数资本投资中扣除的金额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357145</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其中：应在其他依赖于银行未来盈利的净递延税资产中扣除的金额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283754</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其他应在核心一级资本中扣除的项目合计</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应从其他一级资本和二级资本中扣除的未扣缺口</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核心一级资本扣除项总和</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1066378</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核心一级资本净额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17240980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其他一级资本工具及其溢价</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其中：权益部分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其中：负债部分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少数股东资本可计入部分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361</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扣除前的其他一级资本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361</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其他一级资本:扣除项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直接或间接持有的本银行其他一级资本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银行间或银行与其他金融机构间通过协议相互持有的其他一级资本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对未并表金融机构小额少数资本投资中的其他一级资本中应扣除金额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对未并表金融机构大额少数资本投资中的其他一级资本中应扣除金额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其他应在其他一级资本中扣除的项目合计</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应从二级资本中扣除的未扣缺口</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其他一级资本扣除项总和</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其他一级资本净额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361</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一级资本净额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17241341</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二级资本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二级资本工具及其溢价</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1533056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少数股东资本可计入部分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722</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超额损失准备可计入部分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1894357</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扣除前的二级资本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3428136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二级资本：扣除项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直接或间接持有的本银行的二级资本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银行间或银行与其他金融机构间通过协议相互持有的其他一级资本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对未并表金融机构小额少数资本投资中的二级资本中应扣除金额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对未并表金融机构大额少数资本投资中的二级资本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其他应在二级资本中扣除的项目合计</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二级资本扣除项总和</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二级资本净额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3428136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总资本净额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20669477</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风险加权资产</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161954159</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资本充足率和其他各级资本要求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核心一级资本充足率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10.65</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一级资本充足率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10.65</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12.76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其他各级资本要求（%）</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2.50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其中：储备资本要求</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2.50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其中：逆周期资本要求</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其中：全球系统重要性银行或国内系统重要性银行附加资本要求</w:t>
            </w:r>
          </w:p>
        </w:tc>
        <w:tc>
          <w:tcPr>
            <w:tcW w:w="1275" w:type="dxa"/>
            <w:tcBorders>
              <w:top w:val="nil"/>
              <w:left w:val="nil"/>
              <w:bottom w:val="single" w:color="000000" w:sz="8" w:space="0"/>
              <w:right w:val="single" w:color="000000" w:sz="8" w:space="0"/>
            </w:tcBorders>
            <w:shd w:val="clear" w:color="auto" w:fill="BEBEBE"/>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满足最低资本要求后的可用核心一级资本净额占风险加权资产的比例（%）</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lang w:val="en-US"/>
              </w:rPr>
            </w:pPr>
            <w:r>
              <w:rPr>
                <w:rFonts w:hint="default" w:ascii="Arial" w:hAnsi="Arial" w:eastAsia="宋体" w:cs="Arial"/>
                <w:i w:val="0"/>
                <w:color w:val="000000"/>
                <w:kern w:val="0"/>
                <w:sz w:val="24"/>
                <w:szCs w:val="24"/>
                <w:u w:val="none"/>
                <w:lang w:val="en-US" w:eastAsia="zh-CN" w:bidi="ar"/>
              </w:rPr>
              <w:t>5.</w:t>
            </w:r>
            <w:r>
              <w:rPr>
                <w:rFonts w:hint="eastAsia" w:ascii="Arial" w:hAnsi="Arial" w:eastAsia="宋体" w:cs="Arial"/>
                <w:i w:val="0"/>
                <w:color w:val="000000"/>
                <w:kern w:val="0"/>
                <w:sz w:val="24"/>
                <w:szCs w:val="24"/>
                <w:u w:val="none"/>
                <w:lang w:val="en-US" w:eastAsia="zh-CN" w:bidi="ar"/>
              </w:rPr>
              <w:t>65</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我国最低监管资本要求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核心一级资本充足率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一级资本充足率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8</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门槛扣除项中未扣除部分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对未并表金融机构的小额少数资本投资中未扣除部分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291858</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对未并表金融机构的大额少数资本投资中未扣除部分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1798290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其他依赖于银行未来盈利的净递延税资产（扣除递延税负债）</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可计入二级资本的超额损失准备的限额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权重法下，实际计提的超额损失准备金额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4287760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69</w:t>
            </w:r>
          </w:p>
        </w:tc>
        <w:tc>
          <w:tcPr>
            <w:tcW w:w="5895" w:type="dxa"/>
            <w:tcBorders>
              <w:top w:val="nil"/>
              <w:left w:val="nil"/>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权重法下，可计入二级资本超额损失准备的数额</w:t>
            </w:r>
          </w:p>
        </w:tc>
        <w:tc>
          <w:tcPr>
            <w:tcW w:w="1275" w:type="dxa"/>
            <w:tcBorders>
              <w:top w:val="nil"/>
              <w:left w:val="nil"/>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1894357</w:t>
            </w:r>
          </w:p>
        </w:tc>
        <w:tc>
          <w:tcPr>
            <w:tcW w:w="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附表五：集团财务并表和监管并表下的资产负债表差异</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2"/>
        <w:gridCol w:w="3370"/>
        <w:gridCol w:w="1911"/>
        <w:gridCol w:w="1911"/>
        <w:gridCol w:w="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3942" w:type="dxa"/>
            <w:gridSpan w:val="2"/>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1911" w:type="dxa"/>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a</w:t>
            </w:r>
          </w:p>
        </w:tc>
        <w:tc>
          <w:tcPr>
            <w:tcW w:w="1911" w:type="dxa"/>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b</w:t>
            </w:r>
          </w:p>
        </w:tc>
        <w:tc>
          <w:tcPr>
            <w:tcW w:w="572"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3942" w:type="dxa"/>
            <w:gridSpan w:val="2"/>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财务并表范围下的资产负债表</w:t>
            </w:r>
          </w:p>
        </w:tc>
        <w:tc>
          <w:tcPr>
            <w:tcW w:w="191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监管并表范围下的资产负债表</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8336" w:type="dxa"/>
            <w:gridSpan w:val="5"/>
            <w:tcBorders>
              <w:top w:val="nil"/>
              <w:left w:val="single" w:color="000000" w:sz="4" w:space="0"/>
              <w:bottom w:val="single" w:color="000000" w:sz="8" w:space="0"/>
              <w:right w:val="single" w:color="000000" w:sz="4" w:space="0"/>
            </w:tcBorders>
            <w:shd w:val="clear" w:color="auto" w:fill="A6A6A6"/>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现金及存放中央银行款项</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9899020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9882875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存放同业款项</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2018927</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2019105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贵金属</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拆出资金</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7026518</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7023690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衍生金融资产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97342</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122145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买入返售金融资产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持有待售资产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其他应收款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185735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发放贷款和垫款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131961313</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136408616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金融投资</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66618172</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65970879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其中：交易性金融资产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11329197</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11338826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其中：债权投资</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30287765</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29922647</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其中：其他债权投资</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24404115</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24210905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其中：其他权益工具投资</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597095</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498500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长期股权投资</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1688714</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1575731</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投资性房地产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19919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固定资产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1304700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1311418</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在建工程</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63496</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97912</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使用权资产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86446</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186141</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商誉</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无形资产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445158</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408016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其中：其他无形资产（土地使用权除外）</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306418</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长期待摊费用</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28181</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抵债资产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递延所得税资产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1401666</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1366719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617443</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757474</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减：各项资产减值损失准备</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-4625709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28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资产合计</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223248834</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222718926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8336" w:type="dxa"/>
            <w:gridSpan w:val="5"/>
            <w:tcBorders>
              <w:top w:val="nil"/>
              <w:left w:val="single" w:color="000000" w:sz="4" w:space="0"/>
              <w:bottom w:val="single" w:color="000000" w:sz="8"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负债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向中央银行借款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6228257</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同业及其他金融机构存放款项</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24997</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22329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拆入资金</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4173758</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4171586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交易性金融负债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1066485</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1066485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衍生金融负债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98527</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122532</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卖出回购金融资产款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7494329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13708529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吸收存款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178047945</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173544296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应付债券</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6246788</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6246788</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应付职工薪酬</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168922</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369312</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应交税费</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314568</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267679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持有待售负债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其他应付款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144660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租赁负债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77514</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递延所得税负债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76930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其中：与商誉相关的递延所得税负债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其中：与无形资产相关的递延所得税负债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预计负债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173290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340275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564326</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4683596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47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负债合计</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204679706</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204764997</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5"/>
            <w:tcBorders>
              <w:top w:val="nil"/>
              <w:left w:val="single" w:color="000000" w:sz="4" w:space="0"/>
              <w:bottom w:val="single" w:color="000000" w:sz="8"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所有者权益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实收资本（或股本）</w:t>
            </w:r>
          </w:p>
        </w:tc>
        <w:tc>
          <w:tcPr>
            <w:tcW w:w="1911"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2018541</w:t>
            </w:r>
          </w:p>
        </w:tc>
        <w:tc>
          <w:tcPr>
            <w:tcW w:w="1911" w:type="dxa"/>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2018541</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其中：可计入核心一级资本的数额</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2018541</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2018541</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其中：可计入其他一级资本的数额</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其他权益工具</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其中：优先股</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永续债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资本公积</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2418583</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2486759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其他综合收益</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632640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703666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盈余公积</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5979150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5979068</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一般风险准备</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4618413</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4598085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未分配利润</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2887892</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2153584</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少数股东权益</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13909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14226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60</w:t>
            </w:r>
          </w:p>
        </w:tc>
        <w:tc>
          <w:tcPr>
            <w:tcW w:w="3370" w:type="dxa"/>
            <w:tcBorders>
              <w:top w:val="nil"/>
              <w:left w:val="nil"/>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所有者权益合计</w:t>
            </w:r>
          </w:p>
        </w:tc>
        <w:tc>
          <w:tcPr>
            <w:tcW w:w="1911" w:type="dxa"/>
            <w:tcBorders>
              <w:top w:val="nil"/>
              <w:left w:val="nil"/>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18569128</w:t>
            </w:r>
          </w:p>
        </w:tc>
        <w:tc>
          <w:tcPr>
            <w:tcW w:w="1911" w:type="dxa"/>
            <w:tcBorders>
              <w:top w:val="nil"/>
              <w:left w:val="nil"/>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17953929</w:t>
            </w:r>
          </w:p>
        </w:tc>
        <w:tc>
          <w:tcPr>
            <w:tcW w:w="572" w:type="dxa"/>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附表六：LR1杠杆率监管项目与相关会计项目的差异</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476"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59"/>
        <w:gridCol w:w="5985"/>
        <w:gridCol w:w="193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6544" w:type="dxa"/>
            <w:gridSpan w:val="2"/>
            <w:tcBorders>
              <w:top w:val="single" w:color="000000" w:sz="4" w:space="0"/>
              <w:left w:val="single" w:color="000000" w:sz="4" w:space="0"/>
              <w:bottom w:val="single" w:color="auto" w:sz="4" w:space="0"/>
              <w:right w:val="single" w:color="auto" w:sz="4" w:space="0"/>
            </w:tcBorders>
            <w:vAlign w:val="bottom"/>
          </w:tcPr>
          <w:p>
            <w:pPr>
              <w:snapToGrid w:val="0"/>
              <w:spacing w:line="480" w:lineRule="exact"/>
              <w:jc w:val="center"/>
              <w:rPr>
                <w:rFonts w:ascii="仿宋_GB2312" w:eastAsia="仿宋_GB2312" w:cs="宋体"/>
                <w:b/>
                <w:bCs/>
                <w:color w:val="000000" w:themeColor="text1"/>
                <w:sz w:val="24"/>
                <w:szCs w:val="24"/>
                <w:lang w:eastAsia="zh-CN"/>
                <w14:textFill>
                  <w14:solidFill>
                    <w14:schemeClr w14:val="tx1"/>
                  </w14:solidFill>
                </w14:textFill>
              </w:rPr>
            </w:pPr>
          </w:p>
        </w:tc>
        <w:tc>
          <w:tcPr>
            <w:tcW w:w="1932" w:type="dxa"/>
            <w:tcBorders>
              <w:top w:val="single" w:color="000000" w:sz="4" w:space="0"/>
              <w:left w:val="nil"/>
              <w:bottom w:val="single" w:color="auto" w:sz="4" w:space="0"/>
              <w:right w:val="single" w:color="000000" w:sz="4" w:space="0"/>
            </w:tcBorders>
            <w:vAlign w:val="bottom"/>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sz w:val="24"/>
                <w:szCs w:val="24"/>
                <w14:textFill>
                  <w14:solidFill>
                    <w14:schemeClr w14:val="tx1"/>
                  </w14:solidFill>
                </w14:textFill>
              </w:rPr>
              <w:t>a</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并表总资产</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230907250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并表调整项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-481673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7"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客户资产调整项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衍生工具调整项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214542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证券融资交易调整项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414905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5985" w:type="dxa"/>
            <w:tcBorders>
              <w:top w:val="nil"/>
              <w:left w:val="nil"/>
              <w:bottom w:val="single" w:color="auto" w:sz="4" w:space="0"/>
              <w:right w:val="single" w:color="auto" w:sz="4" w:space="0"/>
            </w:tcBorders>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表外项目调整项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38781367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资产证券化交易调整项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未结算金融资产调整项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4"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9</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现金池调整项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10</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存款准备金调整项（如有）</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11</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Segoe UI"/>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审慎估值和减值准备调整项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-1330196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12</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其他调整项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000000" w:sz="4" w:space="0"/>
              <w:right w:val="single" w:color="auto" w:sz="4" w:space="0"/>
            </w:tcBorders>
            <w:vAlign w:val="center"/>
          </w:tcPr>
          <w:p>
            <w:pPr>
              <w:snapToGrid w:val="0"/>
              <w:spacing w:line="480" w:lineRule="exact"/>
              <w:jc w:val="center"/>
              <w:rPr>
                <w:rFonts w:ascii="仿宋_GB2312" w:hAnsi="宋体" w:eastAsia="仿宋_GB2312" w:cs="宋体"/>
                <w:b/>
                <w:bCs/>
                <w:color w:val="000000" w:themeColor="text1"/>
                <w:sz w:val="24"/>
                <w:szCs w:val="24"/>
                <w14:textFill>
                  <w14:solidFill>
                    <w14:schemeClr w14:val="tx1"/>
                  </w14:solidFill>
                </w14:textFill>
              </w:rPr>
            </w:pPr>
            <w:r>
              <w:rPr>
                <w:rFonts w:ascii="仿宋_GB2312" w:hAnsi="宋体" w:eastAsia="仿宋_GB2312" w:cs="宋体"/>
                <w:b/>
                <w:bCs/>
                <w:color w:val="000000" w:themeColor="text1"/>
                <w:sz w:val="24"/>
                <w:szCs w:val="24"/>
                <w:lang w:eastAsia="zh-CN"/>
                <w14:textFill>
                  <w14:solidFill>
                    <w14:schemeClr w14:val="tx1"/>
                  </w14:solidFill>
                </w14:textFill>
              </w:rPr>
              <w:t>13</w:t>
            </w:r>
          </w:p>
        </w:tc>
        <w:tc>
          <w:tcPr>
            <w:tcW w:w="5985" w:type="dxa"/>
            <w:tcBorders>
              <w:top w:val="nil"/>
              <w:left w:val="nil"/>
              <w:bottom w:val="single" w:color="000000" w:sz="4" w:space="0"/>
              <w:right w:val="single" w:color="auto" w:sz="4" w:space="0"/>
            </w:tcBorders>
            <w:vAlign w:val="center"/>
          </w:tcPr>
          <w:p>
            <w:pPr>
              <w:snapToGrid w:val="0"/>
              <w:spacing w:line="480" w:lineRule="exact"/>
              <w:rPr>
                <w:rFonts w:ascii="仿宋_GB2312" w:eastAsia="仿宋_GB2312" w:cs="宋体"/>
                <w:b/>
                <w:bCs/>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sz w:val="24"/>
                <w:szCs w:val="24"/>
                <w:lang w:eastAsia="zh-CN"/>
                <w14:textFill>
                  <w14:solidFill>
                    <w14:schemeClr w14:val="tx1"/>
                  </w14:solidFill>
                </w14:textFill>
              </w:rPr>
              <w:t>调整后表内外资产余额</w:t>
            </w:r>
          </w:p>
        </w:tc>
        <w:tc>
          <w:tcPr>
            <w:tcW w:w="1932" w:type="dxa"/>
            <w:tcBorders>
              <w:top w:val="nil"/>
              <w:left w:val="nil"/>
              <w:bottom w:val="single" w:color="000000"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b/>
                <w:bC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268506194</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附表七：LR2杠杆率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2"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19"/>
        <w:gridCol w:w="4786"/>
        <w:gridCol w:w="1508"/>
        <w:gridCol w:w="2"/>
        <w:gridCol w:w="1507"/>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5505" w:type="dxa"/>
            <w:gridSpan w:val="2"/>
            <w:vMerge w:val="restart"/>
            <w:tcBorders>
              <w:top w:val="single" w:color="000000" w:sz="4" w:space="0"/>
              <w:left w:val="single" w:color="000000" w:sz="4" w:space="0"/>
              <w:bottom w:val="single" w:color="auto" w:sz="4" w:space="0"/>
              <w:right w:val="single" w:color="auto" w:sz="4" w:space="0"/>
            </w:tcBorders>
            <w:vAlign w:val="bottom"/>
          </w:tcPr>
          <w:p>
            <w:pPr>
              <w:snapToGrid w:val="0"/>
              <w:spacing w:line="480" w:lineRule="exact"/>
              <w:jc w:val="center"/>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　</w:t>
            </w:r>
          </w:p>
        </w:tc>
        <w:tc>
          <w:tcPr>
            <w:tcW w:w="1508" w:type="dxa"/>
            <w:tcBorders>
              <w:top w:val="single" w:color="000000" w:sz="4" w:space="0"/>
              <w:left w:val="nil"/>
              <w:bottom w:val="single" w:color="auto" w:sz="4" w:space="0"/>
              <w:right w:val="single" w:color="auto" w:sz="4" w:space="0"/>
            </w:tcBorders>
            <w:vAlign w:val="bottom"/>
          </w:tcPr>
          <w:p>
            <w:pPr>
              <w:snapToGrid w:val="0"/>
              <w:spacing w:line="480" w:lineRule="exact"/>
              <w:jc w:val="center"/>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sz w:val="24"/>
                <w:szCs w:val="24"/>
                <w:lang w:eastAsia="zh-CN"/>
                <w14:textFill>
                  <w14:solidFill>
                    <w14:schemeClr w14:val="tx1"/>
                  </w14:solidFill>
                </w14:textFill>
              </w:rPr>
              <w:t>a</w:t>
            </w:r>
          </w:p>
        </w:tc>
        <w:tc>
          <w:tcPr>
            <w:tcW w:w="1509" w:type="dxa"/>
            <w:gridSpan w:val="2"/>
            <w:tcBorders>
              <w:top w:val="single" w:color="000000" w:sz="4" w:space="0"/>
              <w:left w:val="single" w:color="auto" w:sz="4" w:space="0"/>
              <w:bottom w:val="single" w:color="auto" w:sz="4" w:space="0"/>
              <w:right w:val="single" w:color="000000" w:sz="4" w:space="0"/>
            </w:tcBorders>
            <w:vAlign w:val="bottom"/>
          </w:tcPr>
          <w:p>
            <w:pPr>
              <w:snapToGrid w:val="0"/>
              <w:spacing w:line="480" w:lineRule="exact"/>
              <w:jc w:val="center"/>
              <w:rPr>
                <w:rFonts w:hint="default" w:ascii="仿宋_GB2312" w:hAnsi="宋体" w:eastAsia="仿宋_GB2312" w:cs="宋体"/>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b</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5505" w:type="dxa"/>
            <w:gridSpan w:val="2"/>
            <w:vMerge w:val="continue"/>
            <w:tcBorders>
              <w:top w:val="single" w:color="auto" w:sz="4" w:space="0"/>
              <w:left w:val="single" w:color="000000" w:sz="4" w:space="0"/>
              <w:bottom w:val="single" w:color="auto" w:sz="4" w:space="0"/>
              <w:right w:val="single" w:color="auto" w:sz="4" w:space="0"/>
            </w:tcBorders>
            <w:vAlign w:val="center"/>
          </w:tcPr>
          <w:p>
            <w:pPr>
              <w:spacing w:line="480" w:lineRule="exact"/>
              <w:rPr>
                <w:rFonts w:ascii="仿宋_GB2312" w:eastAsia="仿宋_GB2312" w:cs="宋体"/>
                <w:color w:val="000000" w:themeColor="text1"/>
                <w:sz w:val="24"/>
                <w:szCs w:val="24"/>
                <w:lang w:eastAsia="zh-CN"/>
                <w14:textFill>
                  <w14:solidFill>
                    <w14:schemeClr w14:val="tx1"/>
                  </w14:solidFill>
                </w14:textFill>
              </w:rPr>
            </w:pPr>
          </w:p>
        </w:tc>
        <w:tc>
          <w:tcPr>
            <w:tcW w:w="1508" w:type="dxa"/>
            <w:tcBorders>
              <w:top w:val="nil"/>
              <w:left w:val="nil"/>
              <w:bottom w:val="single" w:color="auto" w:sz="4" w:space="0"/>
              <w:right w:val="single" w:color="auto" w:sz="4" w:space="0"/>
            </w:tcBorders>
            <w:vAlign w:val="bottom"/>
          </w:tcPr>
          <w:p>
            <w:pPr>
              <w:snapToGrid w:val="0"/>
              <w:spacing w:line="480" w:lineRule="exact"/>
              <w:jc w:val="center"/>
              <w:rPr>
                <w:rFonts w:hint="default" w:ascii="仿宋_GB2312" w:hAnsi="宋体" w:eastAsia="仿宋_GB2312" w:cs="宋体"/>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kern w:val="2"/>
                <w:sz w:val="24"/>
                <w:szCs w:val="24"/>
                <w:lang w:val="en-US" w:eastAsia="zh-CN"/>
                <w14:textFill>
                  <w14:solidFill>
                    <w14:schemeClr w14:val="tx1"/>
                  </w14:solidFill>
                </w14:textFill>
              </w:rPr>
              <w:t>2025年12月31日</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snapToGrid w:val="0"/>
              <w:spacing w:line="480" w:lineRule="exact"/>
              <w:jc w:val="center"/>
              <w:rPr>
                <w:rFonts w:hint="default" w:ascii="仿宋_GB2312" w:hAnsi="宋体" w:eastAsia="仿宋_GB2312" w:cs="宋体"/>
                <w:color w:val="000000" w:themeColor="text1"/>
                <w:kern w:val="2"/>
                <w:sz w:val="24"/>
                <w:szCs w:val="24"/>
                <w:lang w:val="en-US" w:eastAsia="zh-CN"/>
                <w14:textFill>
                  <w14:solidFill>
                    <w14:schemeClr w14:val="tx1"/>
                  </w14:solidFill>
                </w14:textFill>
              </w:rPr>
            </w:pPr>
            <w:r>
              <w:rPr>
                <w:rFonts w:hint="eastAsia" w:ascii="仿宋_GB2312" w:hAnsi="宋体" w:eastAsia="仿宋_GB2312" w:cs="宋体"/>
                <w:color w:val="000000" w:themeColor="text1"/>
                <w:kern w:val="2"/>
                <w:sz w:val="24"/>
                <w:szCs w:val="24"/>
                <w:lang w:val="en-US" w:eastAsia="zh-CN"/>
                <w14:textFill>
                  <w14:solidFill>
                    <w14:schemeClr w14:val="tx1"/>
                  </w14:solidFill>
                </w14:textFill>
              </w:rPr>
              <w:t>2025年9月30日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7015" w:type="dxa"/>
            <w:gridSpan w:val="4"/>
            <w:tcBorders>
              <w:top w:val="single" w:color="auto" w:sz="4" w:space="0"/>
              <w:left w:val="single" w:color="000000" w:sz="4" w:space="0"/>
              <w:bottom w:val="single" w:color="auto" w:sz="4" w:space="0"/>
              <w:right w:val="single" w:color="auto" w:sz="4" w:space="0"/>
            </w:tcBorders>
            <w:shd w:val="clear" w:color="auto" w:fill="A6A6A6"/>
            <w:vAlign w:val="bottom"/>
          </w:tcPr>
          <w:p>
            <w:pPr>
              <w:snapToGrid w:val="0"/>
              <w:spacing w:line="480" w:lineRule="exact"/>
              <w:rPr>
                <w:rFonts w:ascii="仿宋_GB2312" w:eastAsia="仿宋_GB2312" w:cs="宋体"/>
                <w:b/>
                <w:color w:val="000000" w:themeColor="text1"/>
                <w:sz w:val="24"/>
                <w:szCs w:val="24"/>
                <w14:textFill>
                  <w14:solidFill>
                    <w14:schemeClr w14:val="tx1"/>
                  </w14:solidFill>
                </w14:textFill>
              </w:rPr>
            </w:pPr>
            <w:r>
              <w:rPr>
                <w:rFonts w:hint="eastAsia" w:ascii="仿宋_GB2312" w:hAnsi="宋体" w:eastAsia="仿宋_GB2312" w:cs="宋体"/>
                <w:b/>
                <w:color w:val="000000" w:themeColor="text1"/>
                <w:kern w:val="2"/>
                <w:sz w:val="24"/>
                <w:szCs w:val="24"/>
                <w14:textFill>
                  <w14:solidFill>
                    <w14:schemeClr w14:val="tx1"/>
                  </w14:solidFill>
                </w14:textFill>
              </w:rPr>
              <w:t>表内资产余额</w:t>
            </w:r>
          </w:p>
        </w:tc>
        <w:tc>
          <w:tcPr>
            <w:tcW w:w="1507" w:type="dxa"/>
            <w:tcBorders>
              <w:top w:val="single" w:color="auto" w:sz="4" w:space="0"/>
              <w:left w:val="single" w:color="auto" w:sz="4" w:space="0"/>
              <w:bottom w:val="single" w:color="auto" w:sz="4" w:space="0"/>
              <w:right w:val="single" w:color="000000" w:sz="4" w:space="0"/>
            </w:tcBorders>
            <w:shd w:val="clear" w:color="auto" w:fill="A6A6A6"/>
            <w:vAlign w:val="bottom"/>
          </w:tcPr>
          <w:p>
            <w:pPr>
              <w:snapToGrid w:val="0"/>
              <w:spacing w:line="480" w:lineRule="exact"/>
              <w:rPr>
                <w:rFonts w:hint="eastAsia" w:ascii="仿宋_GB2312" w:hAnsi="宋体" w:eastAsia="仿宋_GB2312" w:cs="宋体"/>
                <w:b/>
                <w:color w:val="000000" w:themeColor="text1"/>
                <w:kern w:val="2"/>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3"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表内资产（除衍生工具和证券融资交易外）</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234575499</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229901346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减：减值准备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-4544996</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-4397464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6"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减：一级资本扣除项</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-1066378</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-957033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调整后的表内资产余额（衍生工具和证券融资交易除外）</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228964126</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224546848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各类衍生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的重置成本（扣除合格保证金，考虑双边净额结算协议的影响）</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95074</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120986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各类衍生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的潜在风险暴露</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214542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209946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3"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已从资产负债表中扣除的抵质押品总和</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2"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减：因提供合格保证金形成的应收资产</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9</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减：为客户提供清算服务时与中央交易对手交易形成的衍生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10</w:t>
            </w:r>
          </w:p>
        </w:tc>
        <w:tc>
          <w:tcPr>
            <w:tcW w:w="4786"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卖出信用衍生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的名义本金</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99"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11</w:t>
            </w:r>
          </w:p>
        </w:tc>
        <w:tc>
          <w:tcPr>
            <w:tcW w:w="4786"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减：可扣除的卖出信用衍生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衍生</w:t>
            </w:r>
            <w:r>
              <w:rPr>
                <w:rFonts w:hint="eastAsia" w:ascii="仿宋_GB2312" w:hAnsi="宋体" w:eastAsia="仿宋_GB2312" w:cs="宋体"/>
                <w:b/>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b/>
                <w:bCs/>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309616</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330932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证券融资交易的会计资产余额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300000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500000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减：可以扣除的证券融资交易资产余额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证券融资交易的交易对手信用风险暴露</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414905</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27580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代理证券融资交易形成的证券融资交易资产余额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714905</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527580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14:textFill>
                  <w14:solidFill>
                    <w14:schemeClr w14:val="tx1"/>
                  </w14:solidFill>
                </w14:textFill>
              </w:rPr>
              <w:t>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107377185</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106745682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19</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减：因信用转换调整的表外项目余额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-68595819</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-71266432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20</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减：减值准备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-263818</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-201238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21</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调整后的表外项目余额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38517548</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35278012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14:textFill>
                  <w14:solidFill>
                    <w14:schemeClr w14:val="tx1"/>
                  </w14:solidFill>
                </w14:textFill>
              </w:rPr>
              <w:t>一级资本</w:t>
            </w:r>
            <w:r>
              <w:rPr>
                <w:rFonts w:hint="eastAsia" w:ascii="仿宋_GB2312" w:hAnsi="宋体" w:eastAsia="仿宋_GB2312" w:cs="宋体"/>
                <w:color w:val="000000" w:themeColor="text1"/>
                <w:kern w:val="2"/>
                <w:sz w:val="24"/>
                <w:szCs w:val="24"/>
                <w:lang w:eastAsia="zh-CN"/>
                <w14:textFill>
                  <w14:solidFill>
                    <w14:schemeClr w14:val="tx1"/>
                  </w14:solidFill>
                </w14:textFill>
              </w:rPr>
              <w:t>净额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17241341</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17123367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9"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调整后表内外资产余额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268506194</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260683372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杠杆率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6.42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6.57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single" w:color="auto" w:sz="4" w:space="0"/>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4</w:t>
            </w:r>
            <w:r>
              <w:rPr>
                <w:rFonts w:ascii="仿宋_GB2312" w:hAnsi="宋体" w:eastAsia="仿宋_GB2312" w:cs="宋体"/>
                <w:color w:val="000000" w:themeColor="text1"/>
                <w:kern w:val="2"/>
                <w:sz w:val="24"/>
                <w:szCs w:val="24"/>
                <w14:textFill>
                  <w14:solidFill>
                    <w14:schemeClr w14:val="tx1"/>
                  </w14:solidFill>
                </w14:textFill>
              </w:rPr>
              <w:t>a</w:t>
            </w:r>
          </w:p>
        </w:tc>
        <w:tc>
          <w:tcPr>
            <w:tcW w:w="4786" w:type="dxa"/>
            <w:tcBorders>
              <w:top w:val="single" w:color="auto" w:sz="4" w:space="0"/>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杠杆率</w:t>
            </w:r>
            <w:r>
              <w:rPr>
                <w:rFonts w:ascii="仿宋_GB2312" w:hAnsi="宋体" w:eastAsia="仿宋_GB2312" w:cs="宋体"/>
                <w:color w:val="000000" w:themeColor="text1"/>
                <w:kern w:val="2"/>
                <w:sz w:val="24"/>
                <w:szCs w:val="24"/>
                <w:lang w:eastAsia="zh-CN"/>
                <w14:textFill>
                  <w14:solidFill>
                    <w14:schemeClr w14:val="tx1"/>
                  </w14:solidFill>
                </w14:textFill>
              </w:rPr>
              <w:t>a</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6.42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6.57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single" w:color="auto" w:sz="4" w:space="0"/>
              <w:left w:val="single" w:color="000000" w:sz="4" w:space="0"/>
              <w:bottom w:val="single" w:color="000000"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single" w:color="auto" w:sz="4" w:space="0"/>
              <w:left w:val="nil"/>
              <w:bottom w:val="single" w:color="000000"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最低杠杆率要求</w:t>
            </w:r>
          </w:p>
        </w:tc>
        <w:tc>
          <w:tcPr>
            <w:tcW w:w="1508" w:type="dxa"/>
            <w:tcBorders>
              <w:top w:val="single" w:color="auto" w:sz="4" w:space="0"/>
              <w:left w:val="nil"/>
              <w:bottom w:val="single" w:color="000000"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4.00</w:t>
            </w:r>
          </w:p>
        </w:tc>
        <w:tc>
          <w:tcPr>
            <w:tcW w:w="1509" w:type="dxa"/>
            <w:gridSpan w:val="2"/>
            <w:tcBorders>
              <w:top w:val="single" w:color="auto" w:sz="4" w:space="0"/>
              <w:left w:val="single" w:color="auto" w:sz="4" w:space="0"/>
              <w:bottom w:val="single" w:color="000000"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4.00</w:t>
            </w:r>
          </w:p>
        </w:tc>
      </w:tr>
    </w:tbl>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napToGrid w:val="0"/>
        <w:spacing w:line="480" w:lineRule="exact"/>
        <w:outlineLvl w:val="1"/>
        <w:rPr>
          <w:rFonts w:hint="eastAsia"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附表八：资本工具主要特征</w:t>
      </w:r>
    </w:p>
    <w:p>
      <w:pPr>
        <w:snapToGrid w:val="0"/>
        <w:spacing w:line="480" w:lineRule="exact"/>
        <w:jc w:val="right"/>
        <w:outlineLvl w:val="1"/>
        <w:rPr>
          <w:rFonts w:hint="eastAsia"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单位：千元</w:t>
      </w:r>
    </w:p>
    <w:tbl>
      <w:tblPr>
        <w:tblStyle w:val="2"/>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2"/>
        <w:gridCol w:w="1726"/>
        <w:gridCol w:w="3913"/>
        <w:gridCol w:w="3913"/>
        <w:gridCol w:w="3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序号</w:t>
            </w:r>
          </w:p>
        </w:tc>
        <w:tc>
          <w:tcPr>
            <w:tcW w:w="1726" w:type="dxa"/>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资本工具主要特征</w:t>
            </w:r>
          </w:p>
        </w:tc>
        <w:tc>
          <w:tcPr>
            <w:tcW w:w="391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普通股</w:t>
            </w:r>
          </w:p>
        </w:tc>
        <w:tc>
          <w:tcPr>
            <w:tcW w:w="391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二级资本债券</w:t>
            </w:r>
          </w:p>
        </w:tc>
        <w:tc>
          <w:tcPr>
            <w:tcW w:w="3914"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二级资本债券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发行机构</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苏农银行</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苏农银行</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苏农银行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标识码</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603323</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CND1000471J5</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CND10007Z6W1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适用法律</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中国大陆</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中国大陆</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中国大陆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资本层级</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核心一级资本</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其中：适用法人/集团层面</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法人和集团</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法人和集团</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法人和集团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工具类型</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核心一级资本工具</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二级资本债工具</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二级资本债工具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可计入监管资本的数额（最近一期报告日数额，单位：百万元人民币）</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687</w:t>
            </w:r>
            <w:r>
              <w:rPr>
                <w:rFonts w:hint="eastAsia" w:ascii="仿宋_GB2312" w:hAnsi="宋体" w:eastAsia="仿宋_GB2312" w:cs="仿宋_GB2312"/>
                <w:i w:val="0"/>
                <w:color w:val="000000"/>
                <w:kern w:val="0"/>
                <w:sz w:val="20"/>
                <w:szCs w:val="20"/>
                <w:u w:val="none"/>
                <w:lang w:val="en-US" w:eastAsia="zh-CN" w:bidi="ar"/>
              </w:rPr>
              <w:t>.</w:t>
            </w:r>
            <w:r>
              <w:rPr>
                <w:rFonts w:hint="default" w:ascii="仿宋_GB2312" w:hAnsi="宋体" w:eastAsia="仿宋_GB2312" w:cs="仿宋_GB2312"/>
                <w:i w:val="0"/>
                <w:color w:val="000000"/>
                <w:kern w:val="0"/>
                <w:sz w:val="20"/>
                <w:szCs w:val="20"/>
                <w:u w:val="none"/>
                <w:lang w:val="en-US" w:eastAsia="zh-CN" w:bidi="ar"/>
              </w:rPr>
              <w:t>7</w:t>
            </w:r>
            <w:r>
              <w:rPr>
                <w:rFonts w:hint="eastAsia" w:ascii="仿宋_GB2312" w:hAnsi="宋体" w:eastAsia="仿宋_GB2312" w:cs="仿宋_GB2312"/>
                <w:i w:val="0"/>
                <w:color w:val="000000"/>
                <w:kern w:val="0"/>
                <w:sz w:val="20"/>
                <w:szCs w:val="20"/>
                <w:u w:val="none"/>
                <w:lang w:val="en-US" w:eastAsia="zh-CN" w:bidi="ar"/>
              </w:rPr>
              <w:t>8</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516.53</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1016.48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工具面值（单位：百万元人民币）</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111.50</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500</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会计处理</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权益</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以摊余成本计量的负债</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以摊余成本计量的负债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初始发行日</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2016年11月29日</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2021年4月15日</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2024年5月22日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是否存在固定期限</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否</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其中：原始到期日</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无到期日</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2031年4月19日</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2034年5月24日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发行人赎回（需经监管认可）</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否</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其中：赎回日期及额度</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赎回日期：2026年4月19日，赎回额度：5亿元</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赎回日期：2029/5/24，赎回额度：10亿元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其中：后续赎回日期（如有）</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2031年4月19日</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2034年5月24日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0"/>
                <w:szCs w:val="20"/>
                <w:u w:val="none"/>
              </w:rPr>
            </w:pP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分红或派息</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其中：固定或浮动分红/派息</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浮动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固定</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其中：票面利率及相关指标，如采用的基准利率等</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4.80%</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其中：是否存在股息制动机制</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否</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其中：是否可自主取消分红或派息</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完全自由裁量</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无自由裁量权</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无自由裁量权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其中：是否有赎回激励机制</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否</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其中：累计或非累计</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非累积</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非累积</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非累积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是否可转股</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其中：若可转股，则说明转股触发条件</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其中：若可转股，则说明全部转股还是部分转股</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其中：若可转股，则说明转股价格确定方式</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其中：若可转股，则说明是否为强制性转换</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其中：若可转股，则说明转换后工具类型</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其中：若可转股，则说明转换后工具的发行人</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是否减记</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否</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其中：若减记，则说明减记触发条件</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无法生存触发事件发生时，发行人有权在无需获得债券持有人同意的情况下，在其他一级资本工具全部减记或转股后，将本期债券的本金进行部分或全部减记。本期债券按照存续票面金额在设有同一触发事件的所有二级资本工具存续票面总金额中所占的比例进行减记。</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无法生存触发事件发生时，发行人有权在无需获得债券持有人同意的情况下，在其他一级资本工具全部减记或转股后，将本期债券的本金进行部分或全部减记。本期债券按照存续票面金额在设有同一触发事件的所有二级资本工具存续票面总金额中所占的比例进行减记。无法生存触发事件指以下两者中的较早者：（1）国家金融监督管理局认定若不进行减记，发行人将无法生存；（2）相关部门认定若不进行公共部门注资或提供同等效力的支持，发行人将无法生存。减记部分不可恢复，减记部分尚未支付的累积应付利息亦将不再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其中：若减记，则说明是部分减记还是全部减记</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全部或部分减记</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全部或部分减记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其中：若减记，则说明是永久减记还是临时减记</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永久减计</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永久减计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其中：若临时减记，则说明账面价值恢复机制</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33a</w:t>
            </w:r>
          </w:p>
        </w:tc>
        <w:tc>
          <w:tcPr>
            <w:tcW w:w="172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次级类型</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91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2"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1726"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清算时清偿顺序（说明清偿顺序更高级的工具类型）</w:t>
            </w:r>
          </w:p>
        </w:tc>
        <w:tc>
          <w:tcPr>
            <w:tcW w:w="3913" w:type="dxa"/>
            <w:tcBorders>
              <w:top w:val="nil"/>
              <w:left w:val="single" w:color="000000" w:sz="8"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913" w:type="dxa"/>
            <w:tcBorders>
              <w:top w:val="nil"/>
              <w:left w:val="single" w:color="000000" w:sz="8"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期债券本金的清偿顺序和利息支付顺序在存款人和一般债权人之后，股权资本、其他一级资本工具和混合资本债券之前;本期债券与发行人已发行的与本期债券偿还顺序相同的其他次级债务处于同一清偿顺序,与未来可能发行的与本期债券偿还顺序相同的其他二级资本工具同顺位受偿。除非发行人结业、倒闭或清算，投资者不能要求发行人加速偿还本期债券的本金。本期债券的派息将遵守监管当局现时有效的监管规定。除发生触发事件外，本期债券的本金和利息不可递延支付或取消支付。</w:t>
            </w:r>
          </w:p>
        </w:tc>
        <w:tc>
          <w:tcPr>
            <w:tcW w:w="3914"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次债券本金的清偿顺序和利息支付顺序均在存款人和一般债权人之后，股权资本、其他一级资本工具和混合资本债券之前;本次债券与发行人已发行的与本次债券偿还顺序相同的其他次级债务处于同一清偿顺序，与未来可能发行的与本次债券偿还顺序相同的其他二级资本工具同顺位受偿。除非发行人进入破产清算程序，投资者不能要求发行人加速偿还本次债券的本金和利息。</w:t>
            </w:r>
          </w:p>
        </w:tc>
      </w:tr>
    </w:tbl>
    <w:p>
      <w:pPr>
        <w:rPr>
          <w:rFonts w:hint="eastAsia" w:ascii="仿宋" w:hAnsi="仿宋" w:eastAsia="仿宋" w:cs="仿宋"/>
          <w:sz w:val="20"/>
          <w:szCs w:val="20"/>
          <w:lang w:val="en-US" w:eastAsia="zh-CN"/>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59D0"/>
    <w:rsid w:val="001A0A26"/>
    <w:rsid w:val="00377B0C"/>
    <w:rsid w:val="005C2E6F"/>
    <w:rsid w:val="009D130F"/>
    <w:rsid w:val="00B1399E"/>
    <w:rsid w:val="00D15BAE"/>
    <w:rsid w:val="00DB4472"/>
    <w:rsid w:val="00E41CD7"/>
    <w:rsid w:val="00E96815"/>
    <w:rsid w:val="00F8338D"/>
    <w:rsid w:val="011038F8"/>
    <w:rsid w:val="011C7179"/>
    <w:rsid w:val="01427CC7"/>
    <w:rsid w:val="015109E3"/>
    <w:rsid w:val="01735DE0"/>
    <w:rsid w:val="01B9069D"/>
    <w:rsid w:val="01D0609A"/>
    <w:rsid w:val="01FC28DC"/>
    <w:rsid w:val="021141F5"/>
    <w:rsid w:val="021814FC"/>
    <w:rsid w:val="024E186D"/>
    <w:rsid w:val="026A0715"/>
    <w:rsid w:val="02A10CF5"/>
    <w:rsid w:val="02AE6BA6"/>
    <w:rsid w:val="02B7475C"/>
    <w:rsid w:val="02BC2A04"/>
    <w:rsid w:val="02D97F11"/>
    <w:rsid w:val="02DC0D0F"/>
    <w:rsid w:val="03150554"/>
    <w:rsid w:val="031627B0"/>
    <w:rsid w:val="0330780D"/>
    <w:rsid w:val="03316A72"/>
    <w:rsid w:val="03392A7D"/>
    <w:rsid w:val="03845BA2"/>
    <w:rsid w:val="038E5EF8"/>
    <w:rsid w:val="03975EC2"/>
    <w:rsid w:val="03E61283"/>
    <w:rsid w:val="045E3B87"/>
    <w:rsid w:val="046A4637"/>
    <w:rsid w:val="0478741C"/>
    <w:rsid w:val="04B806FE"/>
    <w:rsid w:val="04CF7249"/>
    <w:rsid w:val="04DA66DB"/>
    <w:rsid w:val="04DD79BB"/>
    <w:rsid w:val="04FF7101"/>
    <w:rsid w:val="052F077E"/>
    <w:rsid w:val="053E4A13"/>
    <w:rsid w:val="05452CF2"/>
    <w:rsid w:val="05731022"/>
    <w:rsid w:val="05796E4A"/>
    <w:rsid w:val="05962815"/>
    <w:rsid w:val="05AA002A"/>
    <w:rsid w:val="062A6882"/>
    <w:rsid w:val="064110E1"/>
    <w:rsid w:val="06682C18"/>
    <w:rsid w:val="067730B9"/>
    <w:rsid w:val="06A502E6"/>
    <w:rsid w:val="06D62019"/>
    <w:rsid w:val="073A41F9"/>
    <w:rsid w:val="07405E9A"/>
    <w:rsid w:val="0753066A"/>
    <w:rsid w:val="07604546"/>
    <w:rsid w:val="07864C9A"/>
    <w:rsid w:val="07866F6F"/>
    <w:rsid w:val="07B94616"/>
    <w:rsid w:val="07C87954"/>
    <w:rsid w:val="07DD18F8"/>
    <w:rsid w:val="07F13F25"/>
    <w:rsid w:val="07F92ED2"/>
    <w:rsid w:val="08562CD1"/>
    <w:rsid w:val="08634A8B"/>
    <w:rsid w:val="08654B2E"/>
    <w:rsid w:val="088A1A88"/>
    <w:rsid w:val="08B80EC6"/>
    <w:rsid w:val="08DA3EEE"/>
    <w:rsid w:val="08EB5EE9"/>
    <w:rsid w:val="09032C26"/>
    <w:rsid w:val="091D2364"/>
    <w:rsid w:val="092C3541"/>
    <w:rsid w:val="09891043"/>
    <w:rsid w:val="0A621877"/>
    <w:rsid w:val="0AA60DD3"/>
    <w:rsid w:val="0AB1578A"/>
    <w:rsid w:val="0AD25F62"/>
    <w:rsid w:val="0B25317E"/>
    <w:rsid w:val="0B4476F8"/>
    <w:rsid w:val="0B4D5266"/>
    <w:rsid w:val="0B55788B"/>
    <w:rsid w:val="0B88352B"/>
    <w:rsid w:val="0BB701D8"/>
    <w:rsid w:val="0BC07D0D"/>
    <w:rsid w:val="0BD544C6"/>
    <w:rsid w:val="0C472A5F"/>
    <w:rsid w:val="0C5767F9"/>
    <w:rsid w:val="0C795951"/>
    <w:rsid w:val="0C845A60"/>
    <w:rsid w:val="0CD976FA"/>
    <w:rsid w:val="0CED7550"/>
    <w:rsid w:val="0D156061"/>
    <w:rsid w:val="0D176D42"/>
    <w:rsid w:val="0D266236"/>
    <w:rsid w:val="0D5020C7"/>
    <w:rsid w:val="0D58296C"/>
    <w:rsid w:val="0D682710"/>
    <w:rsid w:val="0D7E6FC2"/>
    <w:rsid w:val="0DB73867"/>
    <w:rsid w:val="0DD039E4"/>
    <w:rsid w:val="0DEC3B33"/>
    <w:rsid w:val="0DEF5E0C"/>
    <w:rsid w:val="0DFD038C"/>
    <w:rsid w:val="0E281B86"/>
    <w:rsid w:val="0E9E0022"/>
    <w:rsid w:val="0EA2552D"/>
    <w:rsid w:val="0EB4533E"/>
    <w:rsid w:val="0EC82D9F"/>
    <w:rsid w:val="0EE02E2E"/>
    <w:rsid w:val="0F062C4F"/>
    <w:rsid w:val="0F163CCB"/>
    <w:rsid w:val="0F6E59E4"/>
    <w:rsid w:val="0F717E84"/>
    <w:rsid w:val="0FA164FD"/>
    <w:rsid w:val="0FAC1B5B"/>
    <w:rsid w:val="0FCA1A49"/>
    <w:rsid w:val="10213AAE"/>
    <w:rsid w:val="103457A0"/>
    <w:rsid w:val="104D0D72"/>
    <w:rsid w:val="10BD3FC2"/>
    <w:rsid w:val="11680030"/>
    <w:rsid w:val="11742DE6"/>
    <w:rsid w:val="11B02BC1"/>
    <w:rsid w:val="11DD0903"/>
    <w:rsid w:val="120F1B51"/>
    <w:rsid w:val="12141FCE"/>
    <w:rsid w:val="12264518"/>
    <w:rsid w:val="123038F6"/>
    <w:rsid w:val="12760979"/>
    <w:rsid w:val="12BB14F1"/>
    <w:rsid w:val="12C16F92"/>
    <w:rsid w:val="12C47C85"/>
    <w:rsid w:val="12D1709D"/>
    <w:rsid w:val="130A7B3B"/>
    <w:rsid w:val="135A295C"/>
    <w:rsid w:val="13650466"/>
    <w:rsid w:val="13752225"/>
    <w:rsid w:val="137C5799"/>
    <w:rsid w:val="13D977A5"/>
    <w:rsid w:val="13F24F24"/>
    <w:rsid w:val="140E4545"/>
    <w:rsid w:val="1410151A"/>
    <w:rsid w:val="142E4516"/>
    <w:rsid w:val="14517C55"/>
    <w:rsid w:val="14524747"/>
    <w:rsid w:val="14682706"/>
    <w:rsid w:val="14845411"/>
    <w:rsid w:val="148677DE"/>
    <w:rsid w:val="1523518B"/>
    <w:rsid w:val="152705E4"/>
    <w:rsid w:val="152B2DE4"/>
    <w:rsid w:val="1596408B"/>
    <w:rsid w:val="159B7E3F"/>
    <w:rsid w:val="15F03F96"/>
    <w:rsid w:val="15FE58DB"/>
    <w:rsid w:val="162F7E19"/>
    <w:rsid w:val="16345FBB"/>
    <w:rsid w:val="163A5BB3"/>
    <w:rsid w:val="163F6AEF"/>
    <w:rsid w:val="166B23D4"/>
    <w:rsid w:val="16900903"/>
    <w:rsid w:val="16BA2DCF"/>
    <w:rsid w:val="16D800BD"/>
    <w:rsid w:val="16E750EF"/>
    <w:rsid w:val="16EA6E76"/>
    <w:rsid w:val="17217A35"/>
    <w:rsid w:val="17264F81"/>
    <w:rsid w:val="176C2298"/>
    <w:rsid w:val="17800655"/>
    <w:rsid w:val="180674BE"/>
    <w:rsid w:val="18224761"/>
    <w:rsid w:val="184B2D5A"/>
    <w:rsid w:val="184B3C05"/>
    <w:rsid w:val="187F3060"/>
    <w:rsid w:val="18825D60"/>
    <w:rsid w:val="18951B93"/>
    <w:rsid w:val="18A75179"/>
    <w:rsid w:val="18CC455F"/>
    <w:rsid w:val="18E01A29"/>
    <w:rsid w:val="194D7C68"/>
    <w:rsid w:val="1974688B"/>
    <w:rsid w:val="1989643E"/>
    <w:rsid w:val="199E7C00"/>
    <w:rsid w:val="19BC5791"/>
    <w:rsid w:val="19CA1AEE"/>
    <w:rsid w:val="1A2E0858"/>
    <w:rsid w:val="1A7C0F99"/>
    <w:rsid w:val="1A9974D2"/>
    <w:rsid w:val="1B5F5F4E"/>
    <w:rsid w:val="1B606829"/>
    <w:rsid w:val="1BB521EA"/>
    <w:rsid w:val="1BC73923"/>
    <w:rsid w:val="1BC9083F"/>
    <w:rsid w:val="1BCC048A"/>
    <w:rsid w:val="1BDB3548"/>
    <w:rsid w:val="1BDF3C66"/>
    <w:rsid w:val="1BE51C21"/>
    <w:rsid w:val="1BE522F9"/>
    <w:rsid w:val="1BF00CBC"/>
    <w:rsid w:val="1BF40D44"/>
    <w:rsid w:val="1C3A3CF5"/>
    <w:rsid w:val="1C460D00"/>
    <w:rsid w:val="1CF32A05"/>
    <w:rsid w:val="1D414265"/>
    <w:rsid w:val="1D8914B0"/>
    <w:rsid w:val="1DA61979"/>
    <w:rsid w:val="1DBB14C7"/>
    <w:rsid w:val="1DBC2476"/>
    <w:rsid w:val="1E0F6DA7"/>
    <w:rsid w:val="1E2C1899"/>
    <w:rsid w:val="1E9A6CAF"/>
    <w:rsid w:val="1ED25622"/>
    <w:rsid w:val="1EDF2538"/>
    <w:rsid w:val="1EE60E3E"/>
    <w:rsid w:val="1F1171D0"/>
    <w:rsid w:val="1F345092"/>
    <w:rsid w:val="1F5E32B7"/>
    <w:rsid w:val="1FBE3BC5"/>
    <w:rsid w:val="1FCD177C"/>
    <w:rsid w:val="1FDD7C3F"/>
    <w:rsid w:val="1FFC5A58"/>
    <w:rsid w:val="20016B0E"/>
    <w:rsid w:val="202150F5"/>
    <w:rsid w:val="20324EC0"/>
    <w:rsid w:val="205A0C09"/>
    <w:rsid w:val="20855DC1"/>
    <w:rsid w:val="209B6552"/>
    <w:rsid w:val="20D62016"/>
    <w:rsid w:val="21051D60"/>
    <w:rsid w:val="213C145A"/>
    <w:rsid w:val="21715E87"/>
    <w:rsid w:val="21A0066F"/>
    <w:rsid w:val="21AE6229"/>
    <w:rsid w:val="21BD7D82"/>
    <w:rsid w:val="21DB262F"/>
    <w:rsid w:val="220A4D00"/>
    <w:rsid w:val="22321896"/>
    <w:rsid w:val="2254225A"/>
    <w:rsid w:val="22551F53"/>
    <w:rsid w:val="22DC4722"/>
    <w:rsid w:val="22E66B79"/>
    <w:rsid w:val="22EE19BF"/>
    <w:rsid w:val="22F80010"/>
    <w:rsid w:val="22FD4EDB"/>
    <w:rsid w:val="23042127"/>
    <w:rsid w:val="23121C93"/>
    <w:rsid w:val="231C23C5"/>
    <w:rsid w:val="233D2A3D"/>
    <w:rsid w:val="234C5D50"/>
    <w:rsid w:val="237810A4"/>
    <w:rsid w:val="23D54B35"/>
    <w:rsid w:val="23F1265F"/>
    <w:rsid w:val="23F92327"/>
    <w:rsid w:val="24090513"/>
    <w:rsid w:val="24677266"/>
    <w:rsid w:val="247A2B07"/>
    <w:rsid w:val="2484490B"/>
    <w:rsid w:val="248F0C19"/>
    <w:rsid w:val="24903568"/>
    <w:rsid w:val="24D83F71"/>
    <w:rsid w:val="250260E1"/>
    <w:rsid w:val="250C744B"/>
    <w:rsid w:val="251040F2"/>
    <w:rsid w:val="25443643"/>
    <w:rsid w:val="254C6F35"/>
    <w:rsid w:val="25641D4C"/>
    <w:rsid w:val="257C09F4"/>
    <w:rsid w:val="25823F9C"/>
    <w:rsid w:val="259B2076"/>
    <w:rsid w:val="25A93061"/>
    <w:rsid w:val="25AA720A"/>
    <w:rsid w:val="25DD70B8"/>
    <w:rsid w:val="263B2215"/>
    <w:rsid w:val="2664325F"/>
    <w:rsid w:val="267B23FA"/>
    <w:rsid w:val="26964651"/>
    <w:rsid w:val="269C2181"/>
    <w:rsid w:val="26B90446"/>
    <w:rsid w:val="26CF08F3"/>
    <w:rsid w:val="26E02CBB"/>
    <w:rsid w:val="26EB0E9B"/>
    <w:rsid w:val="26F83645"/>
    <w:rsid w:val="27127A10"/>
    <w:rsid w:val="27385196"/>
    <w:rsid w:val="27923F27"/>
    <w:rsid w:val="27A039C1"/>
    <w:rsid w:val="27C21558"/>
    <w:rsid w:val="28325A75"/>
    <w:rsid w:val="28537F6C"/>
    <w:rsid w:val="2859187D"/>
    <w:rsid w:val="28756BD9"/>
    <w:rsid w:val="287D56F2"/>
    <w:rsid w:val="289628B1"/>
    <w:rsid w:val="28A5345C"/>
    <w:rsid w:val="28A60EB9"/>
    <w:rsid w:val="28A733E9"/>
    <w:rsid w:val="28BF1DE9"/>
    <w:rsid w:val="28E2554A"/>
    <w:rsid w:val="28E85467"/>
    <w:rsid w:val="29334E61"/>
    <w:rsid w:val="2990347D"/>
    <w:rsid w:val="29DB5260"/>
    <w:rsid w:val="29EB3CFB"/>
    <w:rsid w:val="29F625DE"/>
    <w:rsid w:val="29F87D49"/>
    <w:rsid w:val="2A12300C"/>
    <w:rsid w:val="2A137463"/>
    <w:rsid w:val="2A323226"/>
    <w:rsid w:val="2A3A23A4"/>
    <w:rsid w:val="2A7553D7"/>
    <w:rsid w:val="2A834053"/>
    <w:rsid w:val="2AB010D2"/>
    <w:rsid w:val="2ACF7CA5"/>
    <w:rsid w:val="2AD638A2"/>
    <w:rsid w:val="2AD907CA"/>
    <w:rsid w:val="2ADF0221"/>
    <w:rsid w:val="2B5B4CBB"/>
    <w:rsid w:val="2B7443F5"/>
    <w:rsid w:val="2B7F22DD"/>
    <w:rsid w:val="2B901F00"/>
    <w:rsid w:val="2B9B5082"/>
    <w:rsid w:val="2BA47074"/>
    <w:rsid w:val="2BC54434"/>
    <w:rsid w:val="2BE81C72"/>
    <w:rsid w:val="2BEF19B7"/>
    <w:rsid w:val="2C8753D2"/>
    <w:rsid w:val="2CC06388"/>
    <w:rsid w:val="2CEB2A06"/>
    <w:rsid w:val="2D26017A"/>
    <w:rsid w:val="2D8A5881"/>
    <w:rsid w:val="2DAD54CC"/>
    <w:rsid w:val="2DF16526"/>
    <w:rsid w:val="2E123E14"/>
    <w:rsid w:val="2E1E1F95"/>
    <w:rsid w:val="2E313987"/>
    <w:rsid w:val="2E5E1174"/>
    <w:rsid w:val="2E622D69"/>
    <w:rsid w:val="2EE321BB"/>
    <w:rsid w:val="2F0F397B"/>
    <w:rsid w:val="2F343A68"/>
    <w:rsid w:val="2F4710B7"/>
    <w:rsid w:val="2F5D1717"/>
    <w:rsid w:val="2F6F425C"/>
    <w:rsid w:val="2F741BA7"/>
    <w:rsid w:val="2FC41AEE"/>
    <w:rsid w:val="2FFD7388"/>
    <w:rsid w:val="30515E6F"/>
    <w:rsid w:val="306329F2"/>
    <w:rsid w:val="308D569A"/>
    <w:rsid w:val="30952618"/>
    <w:rsid w:val="309D0A59"/>
    <w:rsid w:val="30A07E66"/>
    <w:rsid w:val="30B1153D"/>
    <w:rsid w:val="30DE7292"/>
    <w:rsid w:val="30EB7DC5"/>
    <w:rsid w:val="310B4AE4"/>
    <w:rsid w:val="311A5486"/>
    <w:rsid w:val="311F172C"/>
    <w:rsid w:val="31466AC2"/>
    <w:rsid w:val="3149398D"/>
    <w:rsid w:val="314A3EFE"/>
    <w:rsid w:val="31746453"/>
    <w:rsid w:val="32160E40"/>
    <w:rsid w:val="32583EFC"/>
    <w:rsid w:val="327269D8"/>
    <w:rsid w:val="32BD7376"/>
    <w:rsid w:val="32CD515B"/>
    <w:rsid w:val="34263522"/>
    <w:rsid w:val="34273808"/>
    <w:rsid w:val="34575E2E"/>
    <w:rsid w:val="345B6692"/>
    <w:rsid w:val="346022EB"/>
    <w:rsid w:val="3460758C"/>
    <w:rsid w:val="34670FA5"/>
    <w:rsid w:val="347D731D"/>
    <w:rsid w:val="347F12C5"/>
    <w:rsid w:val="34916699"/>
    <w:rsid w:val="34CD22C9"/>
    <w:rsid w:val="350B60C9"/>
    <w:rsid w:val="35165CA4"/>
    <w:rsid w:val="351A62D2"/>
    <w:rsid w:val="3522489D"/>
    <w:rsid w:val="359D1342"/>
    <w:rsid w:val="359F4AAF"/>
    <w:rsid w:val="35F331E3"/>
    <w:rsid w:val="35F76ED0"/>
    <w:rsid w:val="360232B7"/>
    <w:rsid w:val="360C4B24"/>
    <w:rsid w:val="36206EC3"/>
    <w:rsid w:val="3636007C"/>
    <w:rsid w:val="368F0107"/>
    <w:rsid w:val="36935BF9"/>
    <w:rsid w:val="369E6D5B"/>
    <w:rsid w:val="36E7774E"/>
    <w:rsid w:val="3780330B"/>
    <w:rsid w:val="379B4657"/>
    <w:rsid w:val="37A03F56"/>
    <w:rsid w:val="37AD42D8"/>
    <w:rsid w:val="37BA03BD"/>
    <w:rsid w:val="37C07427"/>
    <w:rsid w:val="37DB4F2C"/>
    <w:rsid w:val="37EA7D59"/>
    <w:rsid w:val="38391FF1"/>
    <w:rsid w:val="384A7E5E"/>
    <w:rsid w:val="387A1644"/>
    <w:rsid w:val="38854FE2"/>
    <w:rsid w:val="38E065F4"/>
    <w:rsid w:val="38E37300"/>
    <w:rsid w:val="38ED1DBD"/>
    <w:rsid w:val="39397F3D"/>
    <w:rsid w:val="394149D2"/>
    <w:rsid w:val="39B735CA"/>
    <w:rsid w:val="39BD5F92"/>
    <w:rsid w:val="39DF4CFB"/>
    <w:rsid w:val="39F233D2"/>
    <w:rsid w:val="3A3F2433"/>
    <w:rsid w:val="3A5357E7"/>
    <w:rsid w:val="3A5A47E3"/>
    <w:rsid w:val="3A8335EE"/>
    <w:rsid w:val="3A927F06"/>
    <w:rsid w:val="3AB517EE"/>
    <w:rsid w:val="3AE14BDA"/>
    <w:rsid w:val="3AE71A5D"/>
    <w:rsid w:val="3B7C3F0F"/>
    <w:rsid w:val="3BB657BA"/>
    <w:rsid w:val="3BC44A6C"/>
    <w:rsid w:val="3BCB5DBA"/>
    <w:rsid w:val="3BD65806"/>
    <w:rsid w:val="3C065B84"/>
    <w:rsid w:val="3C2A5AF2"/>
    <w:rsid w:val="3C3134E1"/>
    <w:rsid w:val="3C5C6504"/>
    <w:rsid w:val="3C63666F"/>
    <w:rsid w:val="3C994BA1"/>
    <w:rsid w:val="3CCC1D3C"/>
    <w:rsid w:val="3CE55446"/>
    <w:rsid w:val="3D18298B"/>
    <w:rsid w:val="3D2340C0"/>
    <w:rsid w:val="3D5C342D"/>
    <w:rsid w:val="3D781680"/>
    <w:rsid w:val="3D805BB0"/>
    <w:rsid w:val="3DA45E8F"/>
    <w:rsid w:val="3DE06C23"/>
    <w:rsid w:val="3E1630F7"/>
    <w:rsid w:val="3E2208E8"/>
    <w:rsid w:val="3E3867ED"/>
    <w:rsid w:val="3E603239"/>
    <w:rsid w:val="3E654B44"/>
    <w:rsid w:val="3E6A57DE"/>
    <w:rsid w:val="3E772BB6"/>
    <w:rsid w:val="3E865D25"/>
    <w:rsid w:val="3E8C14E2"/>
    <w:rsid w:val="3EAD1F31"/>
    <w:rsid w:val="3ECD4E4C"/>
    <w:rsid w:val="3EE407FC"/>
    <w:rsid w:val="3EEC702C"/>
    <w:rsid w:val="3F0C51DE"/>
    <w:rsid w:val="3F215EDA"/>
    <w:rsid w:val="3F5744B1"/>
    <w:rsid w:val="3F580F52"/>
    <w:rsid w:val="3F602472"/>
    <w:rsid w:val="3F6B6E62"/>
    <w:rsid w:val="3FB105CC"/>
    <w:rsid w:val="405A1DFC"/>
    <w:rsid w:val="40605038"/>
    <w:rsid w:val="40816591"/>
    <w:rsid w:val="408F1476"/>
    <w:rsid w:val="40AD36D0"/>
    <w:rsid w:val="40B05294"/>
    <w:rsid w:val="40D65747"/>
    <w:rsid w:val="40E43C0B"/>
    <w:rsid w:val="410A1008"/>
    <w:rsid w:val="41283936"/>
    <w:rsid w:val="41331570"/>
    <w:rsid w:val="41410C92"/>
    <w:rsid w:val="4186175C"/>
    <w:rsid w:val="41C6714C"/>
    <w:rsid w:val="41F72857"/>
    <w:rsid w:val="42271A19"/>
    <w:rsid w:val="422E5869"/>
    <w:rsid w:val="42906AA9"/>
    <w:rsid w:val="42F3222D"/>
    <w:rsid w:val="43146A05"/>
    <w:rsid w:val="43477BCC"/>
    <w:rsid w:val="435C63D4"/>
    <w:rsid w:val="43670943"/>
    <w:rsid w:val="436D5D16"/>
    <w:rsid w:val="43712370"/>
    <w:rsid w:val="4373798E"/>
    <w:rsid w:val="437637F5"/>
    <w:rsid w:val="43A05024"/>
    <w:rsid w:val="43AF5475"/>
    <w:rsid w:val="43BA00F8"/>
    <w:rsid w:val="43BC0EEC"/>
    <w:rsid w:val="43D1456E"/>
    <w:rsid w:val="444830EA"/>
    <w:rsid w:val="44534E68"/>
    <w:rsid w:val="44545027"/>
    <w:rsid w:val="445C4466"/>
    <w:rsid w:val="44771D5C"/>
    <w:rsid w:val="449501E5"/>
    <w:rsid w:val="451360CE"/>
    <w:rsid w:val="45293884"/>
    <w:rsid w:val="45487EE8"/>
    <w:rsid w:val="4573577B"/>
    <w:rsid w:val="45A63884"/>
    <w:rsid w:val="45BB6E89"/>
    <w:rsid w:val="45E20756"/>
    <w:rsid w:val="45E967AE"/>
    <w:rsid w:val="45FF524C"/>
    <w:rsid w:val="46217D80"/>
    <w:rsid w:val="465B680D"/>
    <w:rsid w:val="466A0C41"/>
    <w:rsid w:val="466D3524"/>
    <w:rsid w:val="467B4D52"/>
    <w:rsid w:val="468774DA"/>
    <w:rsid w:val="46CA45FD"/>
    <w:rsid w:val="46DA23CB"/>
    <w:rsid w:val="46FA1799"/>
    <w:rsid w:val="47003AA7"/>
    <w:rsid w:val="470C5592"/>
    <w:rsid w:val="47167071"/>
    <w:rsid w:val="474F06BD"/>
    <w:rsid w:val="478543F8"/>
    <w:rsid w:val="478B2199"/>
    <w:rsid w:val="47A958EE"/>
    <w:rsid w:val="48295354"/>
    <w:rsid w:val="482A7959"/>
    <w:rsid w:val="49047C9D"/>
    <w:rsid w:val="49113246"/>
    <w:rsid w:val="491264B7"/>
    <w:rsid w:val="49296DB0"/>
    <w:rsid w:val="496B4F4E"/>
    <w:rsid w:val="49831960"/>
    <w:rsid w:val="49CB54F0"/>
    <w:rsid w:val="49D162F4"/>
    <w:rsid w:val="49D171D0"/>
    <w:rsid w:val="49E14EE7"/>
    <w:rsid w:val="49F4534F"/>
    <w:rsid w:val="4AAB006F"/>
    <w:rsid w:val="4ABE2C8E"/>
    <w:rsid w:val="4ACE1B01"/>
    <w:rsid w:val="4AE55434"/>
    <w:rsid w:val="4B0109A7"/>
    <w:rsid w:val="4B033713"/>
    <w:rsid w:val="4B4C7B77"/>
    <w:rsid w:val="4B8550AA"/>
    <w:rsid w:val="4BC22DAE"/>
    <w:rsid w:val="4BD1705A"/>
    <w:rsid w:val="4BED0959"/>
    <w:rsid w:val="4C220DDE"/>
    <w:rsid w:val="4C8E3EBE"/>
    <w:rsid w:val="4CD931A8"/>
    <w:rsid w:val="4CE9025F"/>
    <w:rsid w:val="4CEC21F1"/>
    <w:rsid w:val="4D117558"/>
    <w:rsid w:val="4D236792"/>
    <w:rsid w:val="4D425506"/>
    <w:rsid w:val="4D437D4B"/>
    <w:rsid w:val="4D8D4E7A"/>
    <w:rsid w:val="4D912FAD"/>
    <w:rsid w:val="4DA1552F"/>
    <w:rsid w:val="4DA15CF3"/>
    <w:rsid w:val="4DD21DE7"/>
    <w:rsid w:val="4DE67E30"/>
    <w:rsid w:val="4DFB76B5"/>
    <w:rsid w:val="4E1520B2"/>
    <w:rsid w:val="4E38353D"/>
    <w:rsid w:val="4E684793"/>
    <w:rsid w:val="4E715CFE"/>
    <w:rsid w:val="4E8239BC"/>
    <w:rsid w:val="4E9B65D7"/>
    <w:rsid w:val="4EB330A7"/>
    <w:rsid w:val="4EB40D06"/>
    <w:rsid w:val="4EBC4B37"/>
    <w:rsid w:val="4EE147B1"/>
    <w:rsid w:val="4F2A561C"/>
    <w:rsid w:val="4F4632E7"/>
    <w:rsid w:val="4F6D29B8"/>
    <w:rsid w:val="4F96101C"/>
    <w:rsid w:val="4FC739FC"/>
    <w:rsid w:val="4FD754B7"/>
    <w:rsid w:val="4FDE42D2"/>
    <w:rsid w:val="50204055"/>
    <w:rsid w:val="50390F1E"/>
    <w:rsid w:val="506612C4"/>
    <w:rsid w:val="50972F6C"/>
    <w:rsid w:val="50B04C8F"/>
    <w:rsid w:val="50C22415"/>
    <w:rsid w:val="50DC3077"/>
    <w:rsid w:val="50DC41F5"/>
    <w:rsid w:val="50F502B0"/>
    <w:rsid w:val="5109570C"/>
    <w:rsid w:val="510D2DDC"/>
    <w:rsid w:val="51306FED"/>
    <w:rsid w:val="513A4F6F"/>
    <w:rsid w:val="514246E6"/>
    <w:rsid w:val="51565413"/>
    <w:rsid w:val="515E6299"/>
    <w:rsid w:val="51C55FA9"/>
    <w:rsid w:val="51DE5290"/>
    <w:rsid w:val="520A043D"/>
    <w:rsid w:val="52235201"/>
    <w:rsid w:val="52443591"/>
    <w:rsid w:val="526669B4"/>
    <w:rsid w:val="526A6D29"/>
    <w:rsid w:val="52892CE2"/>
    <w:rsid w:val="528D3B09"/>
    <w:rsid w:val="52B053BD"/>
    <w:rsid w:val="52C2722A"/>
    <w:rsid w:val="53297AE5"/>
    <w:rsid w:val="539D4FAD"/>
    <w:rsid w:val="53B7531C"/>
    <w:rsid w:val="53DB028B"/>
    <w:rsid w:val="543447AA"/>
    <w:rsid w:val="551556FB"/>
    <w:rsid w:val="551A468B"/>
    <w:rsid w:val="55212294"/>
    <w:rsid w:val="5555589B"/>
    <w:rsid w:val="556805E1"/>
    <w:rsid w:val="556B24C0"/>
    <w:rsid w:val="556B3318"/>
    <w:rsid w:val="55A857A7"/>
    <w:rsid w:val="56590FAA"/>
    <w:rsid w:val="567E4BE9"/>
    <w:rsid w:val="56907E9A"/>
    <w:rsid w:val="56F3559A"/>
    <w:rsid w:val="56F80400"/>
    <w:rsid w:val="57336284"/>
    <w:rsid w:val="57351A11"/>
    <w:rsid w:val="57402A64"/>
    <w:rsid w:val="577C275B"/>
    <w:rsid w:val="57BC7C28"/>
    <w:rsid w:val="57FE2ADB"/>
    <w:rsid w:val="580E1120"/>
    <w:rsid w:val="583D2509"/>
    <w:rsid w:val="5850246F"/>
    <w:rsid w:val="5865652E"/>
    <w:rsid w:val="58C53FA4"/>
    <w:rsid w:val="58CA5AB7"/>
    <w:rsid w:val="58EE4D6D"/>
    <w:rsid w:val="59047DBF"/>
    <w:rsid w:val="591111C2"/>
    <w:rsid w:val="592338F6"/>
    <w:rsid w:val="59421301"/>
    <w:rsid w:val="59586158"/>
    <w:rsid w:val="595A16D9"/>
    <w:rsid w:val="59A3207E"/>
    <w:rsid w:val="59A81CB5"/>
    <w:rsid w:val="59CB787E"/>
    <w:rsid w:val="59D26CFC"/>
    <w:rsid w:val="59D43421"/>
    <w:rsid w:val="59D506DD"/>
    <w:rsid w:val="5A6104D4"/>
    <w:rsid w:val="5A6E18CB"/>
    <w:rsid w:val="5AC06F9C"/>
    <w:rsid w:val="5AC077C1"/>
    <w:rsid w:val="5AF041F7"/>
    <w:rsid w:val="5B282499"/>
    <w:rsid w:val="5B2E4889"/>
    <w:rsid w:val="5B5D35FA"/>
    <w:rsid w:val="5B7F0C1E"/>
    <w:rsid w:val="5B995DAC"/>
    <w:rsid w:val="5BAE764A"/>
    <w:rsid w:val="5BE23DB7"/>
    <w:rsid w:val="5C5375FA"/>
    <w:rsid w:val="5C634DF3"/>
    <w:rsid w:val="5CCB33EB"/>
    <w:rsid w:val="5CCE1146"/>
    <w:rsid w:val="5D221572"/>
    <w:rsid w:val="5D5B5E6F"/>
    <w:rsid w:val="5D7574EC"/>
    <w:rsid w:val="5DAF3DFB"/>
    <w:rsid w:val="5DC6662F"/>
    <w:rsid w:val="5DD363D0"/>
    <w:rsid w:val="5DE2052F"/>
    <w:rsid w:val="5DEF7CE3"/>
    <w:rsid w:val="5DFD52DC"/>
    <w:rsid w:val="5E243778"/>
    <w:rsid w:val="5E4B0FB6"/>
    <w:rsid w:val="5E4B4D7C"/>
    <w:rsid w:val="5E5D79F9"/>
    <w:rsid w:val="5EB34969"/>
    <w:rsid w:val="5EB61D0F"/>
    <w:rsid w:val="5EEB058C"/>
    <w:rsid w:val="5EFD398E"/>
    <w:rsid w:val="5F5546AD"/>
    <w:rsid w:val="5F9D2B88"/>
    <w:rsid w:val="5FA35C55"/>
    <w:rsid w:val="6028338F"/>
    <w:rsid w:val="602E4278"/>
    <w:rsid w:val="60337107"/>
    <w:rsid w:val="60551B7C"/>
    <w:rsid w:val="608A62AD"/>
    <w:rsid w:val="614A48DD"/>
    <w:rsid w:val="616E26F3"/>
    <w:rsid w:val="6180016F"/>
    <w:rsid w:val="61980AFD"/>
    <w:rsid w:val="619C35F9"/>
    <w:rsid w:val="61C10E95"/>
    <w:rsid w:val="61D83090"/>
    <w:rsid w:val="61FE6241"/>
    <w:rsid w:val="62137C67"/>
    <w:rsid w:val="62263ECD"/>
    <w:rsid w:val="62785215"/>
    <w:rsid w:val="628C6136"/>
    <w:rsid w:val="62921CAF"/>
    <w:rsid w:val="62A01A3D"/>
    <w:rsid w:val="62AF5AA3"/>
    <w:rsid w:val="62C874A7"/>
    <w:rsid w:val="630E56B1"/>
    <w:rsid w:val="63304AA2"/>
    <w:rsid w:val="63503FC0"/>
    <w:rsid w:val="63991F5C"/>
    <w:rsid w:val="63B70DDC"/>
    <w:rsid w:val="63D74BBC"/>
    <w:rsid w:val="63E702A9"/>
    <w:rsid w:val="63E77597"/>
    <w:rsid w:val="640F52FF"/>
    <w:rsid w:val="642C35B9"/>
    <w:rsid w:val="643167E9"/>
    <w:rsid w:val="643E4A99"/>
    <w:rsid w:val="646D6B99"/>
    <w:rsid w:val="647D28DC"/>
    <w:rsid w:val="64810CD6"/>
    <w:rsid w:val="64AA59B2"/>
    <w:rsid w:val="64C20496"/>
    <w:rsid w:val="64D413A7"/>
    <w:rsid w:val="64E220CD"/>
    <w:rsid w:val="65084A8B"/>
    <w:rsid w:val="652621DC"/>
    <w:rsid w:val="652763F2"/>
    <w:rsid w:val="652A4A28"/>
    <w:rsid w:val="65393199"/>
    <w:rsid w:val="653F212C"/>
    <w:rsid w:val="65515BD7"/>
    <w:rsid w:val="657538E5"/>
    <w:rsid w:val="65783271"/>
    <w:rsid w:val="6580592C"/>
    <w:rsid w:val="65AB35DD"/>
    <w:rsid w:val="661459C4"/>
    <w:rsid w:val="664631DF"/>
    <w:rsid w:val="66885571"/>
    <w:rsid w:val="66995E41"/>
    <w:rsid w:val="66BA0BF3"/>
    <w:rsid w:val="66DC045A"/>
    <w:rsid w:val="66E05F8B"/>
    <w:rsid w:val="66E645D9"/>
    <w:rsid w:val="66FD6274"/>
    <w:rsid w:val="6712688F"/>
    <w:rsid w:val="67222313"/>
    <w:rsid w:val="67536D59"/>
    <w:rsid w:val="678964A8"/>
    <w:rsid w:val="678E5E8B"/>
    <w:rsid w:val="67A90D05"/>
    <w:rsid w:val="67B777C2"/>
    <w:rsid w:val="67DF483B"/>
    <w:rsid w:val="67EA3C44"/>
    <w:rsid w:val="67EE2316"/>
    <w:rsid w:val="68160826"/>
    <w:rsid w:val="6829254F"/>
    <w:rsid w:val="68365E21"/>
    <w:rsid w:val="683B1E40"/>
    <w:rsid w:val="68644906"/>
    <w:rsid w:val="68657487"/>
    <w:rsid w:val="68A702F5"/>
    <w:rsid w:val="69161C18"/>
    <w:rsid w:val="695B13FE"/>
    <w:rsid w:val="698D79BA"/>
    <w:rsid w:val="69B177AA"/>
    <w:rsid w:val="69D90AE2"/>
    <w:rsid w:val="69E22DF3"/>
    <w:rsid w:val="69EC02A9"/>
    <w:rsid w:val="6A125C3F"/>
    <w:rsid w:val="6A135607"/>
    <w:rsid w:val="6A234580"/>
    <w:rsid w:val="6A761CE5"/>
    <w:rsid w:val="6B14660C"/>
    <w:rsid w:val="6B1F2EAA"/>
    <w:rsid w:val="6B7048FB"/>
    <w:rsid w:val="6BBC7781"/>
    <w:rsid w:val="6BC01C13"/>
    <w:rsid w:val="6BFB68B3"/>
    <w:rsid w:val="6C1C48FE"/>
    <w:rsid w:val="6C637F2E"/>
    <w:rsid w:val="6C6A2D6A"/>
    <w:rsid w:val="6C863097"/>
    <w:rsid w:val="6CAC2EFF"/>
    <w:rsid w:val="6CB07C89"/>
    <w:rsid w:val="6CC23088"/>
    <w:rsid w:val="6CC71BEE"/>
    <w:rsid w:val="6CD42D63"/>
    <w:rsid w:val="6D0468D3"/>
    <w:rsid w:val="6D1E2632"/>
    <w:rsid w:val="6D847E46"/>
    <w:rsid w:val="6D9D0427"/>
    <w:rsid w:val="6DD76241"/>
    <w:rsid w:val="6DF17F52"/>
    <w:rsid w:val="6E0134C9"/>
    <w:rsid w:val="6E114F7A"/>
    <w:rsid w:val="6E977789"/>
    <w:rsid w:val="6EAB7865"/>
    <w:rsid w:val="6EC817EE"/>
    <w:rsid w:val="6EE22B54"/>
    <w:rsid w:val="6EFE414D"/>
    <w:rsid w:val="6F0D0C80"/>
    <w:rsid w:val="6FA0526F"/>
    <w:rsid w:val="6FA54553"/>
    <w:rsid w:val="6FAA7B2C"/>
    <w:rsid w:val="6FB30B03"/>
    <w:rsid w:val="6FDD0058"/>
    <w:rsid w:val="70021F50"/>
    <w:rsid w:val="705D7F2E"/>
    <w:rsid w:val="709B6FCB"/>
    <w:rsid w:val="70FE57E7"/>
    <w:rsid w:val="71231C75"/>
    <w:rsid w:val="715430A1"/>
    <w:rsid w:val="7161576F"/>
    <w:rsid w:val="719F6F93"/>
    <w:rsid w:val="71E61428"/>
    <w:rsid w:val="7205246D"/>
    <w:rsid w:val="7283160F"/>
    <w:rsid w:val="729D1B52"/>
    <w:rsid w:val="72AD7A67"/>
    <w:rsid w:val="72BF364C"/>
    <w:rsid w:val="72E569D0"/>
    <w:rsid w:val="72F627C7"/>
    <w:rsid w:val="72FF4371"/>
    <w:rsid w:val="730D70A2"/>
    <w:rsid w:val="736F152E"/>
    <w:rsid w:val="737236E5"/>
    <w:rsid w:val="73CF0EB2"/>
    <w:rsid w:val="73E82D9E"/>
    <w:rsid w:val="73FD58B0"/>
    <w:rsid w:val="741C2CB6"/>
    <w:rsid w:val="74252CE8"/>
    <w:rsid w:val="74457264"/>
    <w:rsid w:val="74683E6F"/>
    <w:rsid w:val="747A12E1"/>
    <w:rsid w:val="747C4F89"/>
    <w:rsid w:val="74B609DE"/>
    <w:rsid w:val="752B0C20"/>
    <w:rsid w:val="756F5FED"/>
    <w:rsid w:val="75860E80"/>
    <w:rsid w:val="75DA7BE6"/>
    <w:rsid w:val="75EF22A0"/>
    <w:rsid w:val="75FB5996"/>
    <w:rsid w:val="763E5277"/>
    <w:rsid w:val="7664730E"/>
    <w:rsid w:val="766617A9"/>
    <w:rsid w:val="76755F71"/>
    <w:rsid w:val="76B776E6"/>
    <w:rsid w:val="76CC2B6B"/>
    <w:rsid w:val="772C7A3D"/>
    <w:rsid w:val="77363B67"/>
    <w:rsid w:val="77405524"/>
    <w:rsid w:val="77724A2D"/>
    <w:rsid w:val="77A4299C"/>
    <w:rsid w:val="783A2B45"/>
    <w:rsid w:val="78CB3D5F"/>
    <w:rsid w:val="78F95E6F"/>
    <w:rsid w:val="79624B5B"/>
    <w:rsid w:val="796D7ECC"/>
    <w:rsid w:val="79AA62EB"/>
    <w:rsid w:val="79AC52D4"/>
    <w:rsid w:val="79D931B1"/>
    <w:rsid w:val="79DC745C"/>
    <w:rsid w:val="79E03C50"/>
    <w:rsid w:val="7A001793"/>
    <w:rsid w:val="7A30787F"/>
    <w:rsid w:val="7A5C182A"/>
    <w:rsid w:val="7A8A6D94"/>
    <w:rsid w:val="7A8B636F"/>
    <w:rsid w:val="7AA34403"/>
    <w:rsid w:val="7ACB7277"/>
    <w:rsid w:val="7ADB4F2E"/>
    <w:rsid w:val="7B134874"/>
    <w:rsid w:val="7B490E6B"/>
    <w:rsid w:val="7B4B1ED7"/>
    <w:rsid w:val="7B873BB3"/>
    <w:rsid w:val="7BA41449"/>
    <w:rsid w:val="7BCE3587"/>
    <w:rsid w:val="7BDB33C3"/>
    <w:rsid w:val="7BDD7F8C"/>
    <w:rsid w:val="7C1A36C5"/>
    <w:rsid w:val="7C816A41"/>
    <w:rsid w:val="7C923522"/>
    <w:rsid w:val="7C9F24AC"/>
    <w:rsid w:val="7CA30BC2"/>
    <w:rsid w:val="7CB16890"/>
    <w:rsid w:val="7CED0165"/>
    <w:rsid w:val="7CEE36AD"/>
    <w:rsid w:val="7D065E09"/>
    <w:rsid w:val="7D1D4A7B"/>
    <w:rsid w:val="7D380E1A"/>
    <w:rsid w:val="7D5057FF"/>
    <w:rsid w:val="7D854B56"/>
    <w:rsid w:val="7D987C2B"/>
    <w:rsid w:val="7D9C277B"/>
    <w:rsid w:val="7DE02400"/>
    <w:rsid w:val="7DEB34DD"/>
    <w:rsid w:val="7DEB523E"/>
    <w:rsid w:val="7DFF38B1"/>
    <w:rsid w:val="7E2C6FD7"/>
    <w:rsid w:val="7E3D4AE0"/>
    <w:rsid w:val="7E52676C"/>
    <w:rsid w:val="7E623FD0"/>
    <w:rsid w:val="7E6B1FFC"/>
    <w:rsid w:val="7E847300"/>
    <w:rsid w:val="7EA805E5"/>
    <w:rsid w:val="7ECF1358"/>
    <w:rsid w:val="7EF501E9"/>
    <w:rsid w:val="7F0645A3"/>
    <w:rsid w:val="7F88478F"/>
    <w:rsid w:val="7F923302"/>
    <w:rsid w:val="7F946CDF"/>
    <w:rsid w:val="7F986C72"/>
    <w:rsid w:val="7FAD3C84"/>
    <w:rsid w:val="7FCE7FE8"/>
    <w:rsid w:val="7FDB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31"/>
    <w:basedOn w:val="3"/>
    <w:qFormat/>
    <w:uiPriority w:val="0"/>
    <w:rPr>
      <w:rFonts w:hint="eastAsia" w:ascii="仿宋_GB2312" w:eastAsia="仿宋_GB2312" w:cs="仿宋_GB2312"/>
      <w:color w:val="000000"/>
      <w:sz w:val="22"/>
      <w:szCs w:val="22"/>
      <w:u w:val="none"/>
    </w:rPr>
  </w:style>
  <w:style w:type="character" w:customStyle="1" w:styleId="5">
    <w:name w:val="font11"/>
    <w:basedOn w:val="3"/>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2020-06-09T07:21:00Z</dcterms:created>
  <dc:creator>user</dc:creator>
  <cp:lastModifiedBy>user</cp:lastModifiedBy>
  <dcterms:modified xsi:type="dcterms:W3CDTF">2026-04-30T01:03:31Z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