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年末</w:t>
      </w:r>
      <w:r>
        <w:rPr>
          <w:rFonts w:ascii="黑体" w:hAnsi="黑体" w:eastAsia="黑体"/>
          <w:sz w:val="32"/>
          <w:szCs w:val="32"/>
        </w:rPr>
        <w:t>苏州农</w:t>
      </w:r>
      <w:r>
        <w:rPr>
          <w:rFonts w:hint="eastAsia" w:ascii="黑体" w:hAnsi="黑体" w:eastAsia="黑体"/>
          <w:sz w:val="32"/>
          <w:szCs w:val="32"/>
        </w:rPr>
        <w:t>商</w:t>
      </w:r>
      <w:r>
        <w:rPr>
          <w:rFonts w:ascii="黑体" w:hAnsi="黑体" w:eastAsia="黑体"/>
          <w:sz w:val="32"/>
          <w:szCs w:val="32"/>
        </w:rPr>
        <w:t>银行</w:t>
      </w:r>
      <w:r>
        <w:rPr>
          <w:rFonts w:hint="eastAsia" w:ascii="黑体" w:hAnsi="黑体" w:eastAsia="黑体"/>
          <w:sz w:val="32"/>
          <w:szCs w:val="32"/>
        </w:rPr>
        <w:t>前10大股东</w:t>
      </w:r>
      <w:r>
        <w:rPr>
          <w:rFonts w:ascii="黑体" w:hAnsi="黑体" w:eastAsia="黑体"/>
          <w:sz w:val="32"/>
          <w:szCs w:val="32"/>
        </w:rPr>
        <w:t>及整体质押情况</w:t>
      </w:r>
    </w:p>
    <w:p>
      <w:pPr>
        <w:jc w:val="right"/>
      </w:pPr>
      <w:r>
        <w:rPr>
          <w:rFonts w:hint="eastAsia"/>
        </w:rPr>
        <w:t>单位</w:t>
      </w:r>
      <w:r>
        <w:t>：万股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744"/>
        <w:gridCol w:w="1150"/>
        <w:gridCol w:w="1371"/>
        <w:gridCol w:w="1165"/>
        <w:gridCol w:w="115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股东名称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股东性质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持股数量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持股比例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股份</w:t>
            </w:r>
            <w:r>
              <w:rPr>
                <w:b/>
              </w:rPr>
              <w:t>状态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质押</w:t>
            </w:r>
            <w:r>
              <w:rPr>
                <w:b/>
              </w:rPr>
              <w:t>或冻结</w:t>
            </w:r>
            <w:r>
              <w:rPr>
                <w:rFonts w:hint="eastAsia"/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>
            <w:r>
              <w:rPr>
                <w:rFonts w:hint="eastAsia"/>
                <w:szCs w:val="21"/>
              </w:rPr>
              <w:t>亨通</w:t>
            </w:r>
            <w:r>
              <w:rPr>
                <w:szCs w:val="21"/>
              </w:rPr>
              <w:t>集团有限公司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非国有</w:t>
            </w:r>
          </w:p>
          <w:p>
            <w:pPr>
              <w:jc w:val="center"/>
              <w:rPr>
                <w:b/>
              </w:rPr>
            </w:pPr>
            <w: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</w:pPr>
            <w:r>
              <w:t>13745.4953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6.</w:t>
            </w:r>
            <w:r>
              <w:t>81%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质押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  <w: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>
            <w:r>
              <w:rPr>
                <w:rFonts w:hint="eastAsia"/>
                <w:szCs w:val="21"/>
              </w:rPr>
              <w:t>江苏</w:t>
            </w:r>
            <w:r>
              <w:rPr>
                <w:szCs w:val="21"/>
              </w:rPr>
              <w:t>新恒通投资集团有限公司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非国有</w:t>
            </w:r>
          </w:p>
          <w:p>
            <w:pPr>
              <w:jc w:val="center"/>
            </w:pPr>
            <w: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Cs w:val="21"/>
              </w:rPr>
              <w:t>13588.6428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6.</w:t>
            </w:r>
            <w:r>
              <w:rPr>
                <w:szCs w:val="21"/>
              </w:rPr>
              <w:t>73%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弘康人寿保险股份有限公司－自有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非国有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10000.1309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.95%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44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香港中央结算有限公司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8468.8050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4.20%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吴江市盛泽化纺绸厂有限公司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非国有</w:t>
            </w:r>
          </w:p>
          <w:p>
            <w:pPr>
              <w:jc w:val="center"/>
            </w:pPr>
            <w: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4597.6081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2.28%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44" w:type="dxa"/>
            <w:shd w:val="clear" w:color="auto" w:fill="auto"/>
          </w:tcPr>
          <w:p>
            <w:r>
              <w:rPr>
                <w:rFonts w:hint="eastAsia"/>
              </w:rPr>
              <w:t>吴江市恒达实业发展有限公司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非国有</w:t>
            </w:r>
          </w:p>
          <w:p>
            <w:pPr>
              <w:jc w:val="center"/>
            </w:pPr>
            <w: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2448.0373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1.21%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质押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Cs w:val="21"/>
              </w:rPr>
              <w:t>2387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童良忠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境内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自然人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247.1030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.11%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44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苏州汉润文化旅游发展有限公司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非国有</w:t>
            </w:r>
          </w:p>
          <w:p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200.0330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.09%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周宇光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境内</w:t>
            </w:r>
          </w:p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Cs w:val="21"/>
              </w:rPr>
              <w:t>2126.6259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Cs w:val="21"/>
              </w:rPr>
              <w:t>1.05%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44" w:type="dxa"/>
            <w:shd w:val="clear" w:color="auto" w:fill="auto"/>
          </w:tcPr>
          <w:p>
            <w:r>
              <w:rPr>
                <w:rFonts w:hint="eastAsia"/>
              </w:rPr>
              <w:t>招商银行股份有限公司－南方中证</w:t>
            </w:r>
            <w:r>
              <w:t>1000交易型开放式指数证券投资基金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849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4179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.92</w:t>
            </w:r>
            <w:r>
              <w:rPr>
                <w:rFonts w:hint="eastAsia"/>
                <w:szCs w:val="21"/>
                <w:lang w:val="en-US" w:eastAsia="zh-CN"/>
              </w:rPr>
              <w:t>%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96" w:type="dxa"/>
            <w:gridSpan w:val="7"/>
            <w:shd w:val="clear" w:color="auto" w:fill="auto"/>
            <w:vAlign w:val="center"/>
          </w:tcPr>
          <w:p>
            <w:r>
              <w:rPr>
                <w:rFonts w:hint="eastAsia"/>
              </w:rPr>
              <w:t>注：截至202</w:t>
            </w:r>
            <w:r>
              <w:t>5</w:t>
            </w:r>
            <w:r>
              <w:rPr>
                <w:rFonts w:hint="eastAsia"/>
              </w:rPr>
              <w:t>年末</w:t>
            </w:r>
            <w:r>
              <w:t>，本行总体</w:t>
            </w:r>
            <w:r>
              <w:rPr>
                <w:rFonts w:hint="eastAsia"/>
              </w:rPr>
              <w:t>股份</w:t>
            </w:r>
            <w:r>
              <w:t>质押比例为</w:t>
            </w:r>
            <w:r>
              <w:rPr>
                <w:rFonts w:hint="eastAsia"/>
              </w:rPr>
              <w:t>7</w:t>
            </w:r>
            <w:r>
              <w:t>.09%。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62"/>
    <w:rsid w:val="000201D2"/>
    <w:rsid w:val="000645F7"/>
    <w:rsid w:val="000B3F1E"/>
    <w:rsid w:val="000B60BD"/>
    <w:rsid w:val="000E15F7"/>
    <w:rsid w:val="001264CA"/>
    <w:rsid w:val="001447A4"/>
    <w:rsid w:val="00186A8A"/>
    <w:rsid w:val="001B4959"/>
    <w:rsid w:val="001B590A"/>
    <w:rsid w:val="001F62A4"/>
    <w:rsid w:val="002041CF"/>
    <w:rsid w:val="0028080A"/>
    <w:rsid w:val="002E0FCC"/>
    <w:rsid w:val="003006D2"/>
    <w:rsid w:val="003103EC"/>
    <w:rsid w:val="00341793"/>
    <w:rsid w:val="00346148"/>
    <w:rsid w:val="00351294"/>
    <w:rsid w:val="003658C0"/>
    <w:rsid w:val="00366B05"/>
    <w:rsid w:val="003A50E5"/>
    <w:rsid w:val="003B00F8"/>
    <w:rsid w:val="003C595C"/>
    <w:rsid w:val="003D3939"/>
    <w:rsid w:val="003E31A5"/>
    <w:rsid w:val="003F47F6"/>
    <w:rsid w:val="00425707"/>
    <w:rsid w:val="004632AF"/>
    <w:rsid w:val="004A0069"/>
    <w:rsid w:val="004A6A09"/>
    <w:rsid w:val="004D50F0"/>
    <w:rsid w:val="004E0F8D"/>
    <w:rsid w:val="004F36AF"/>
    <w:rsid w:val="005071BF"/>
    <w:rsid w:val="00534F38"/>
    <w:rsid w:val="005447F3"/>
    <w:rsid w:val="00586F62"/>
    <w:rsid w:val="00594B66"/>
    <w:rsid w:val="00596BE9"/>
    <w:rsid w:val="005A3296"/>
    <w:rsid w:val="005A5236"/>
    <w:rsid w:val="005B24CF"/>
    <w:rsid w:val="005B6F53"/>
    <w:rsid w:val="005C2326"/>
    <w:rsid w:val="00625D68"/>
    <w:rsid w:val="006508B2"/>
    <w:rsid w:val="00677D83"/>
    <w:rsid w:val="006D70B0"/>
    <w:rsid w:val="006E3536"/>
    <w:rsid w:val="0071068B"/>
    <w:rsid w:val="007A212E"/>
    <w:rsid w:val="007A2547"/>
    <w:rsid w:val="007B3755"/>
    <w:rsid w:val="007B46A7"/>
    <w:rsid w:val="007D31D7"/>
    <w:rsid w:val="00850F6F"/>
    <w:rsid w:val="00885A21"/>
    <w:rsid w:val="008B1C0B"/>
    <w:rsid w:val="008B2889"/>
    <w:rsid w:val="008C34E3"/>
    <w:rsid w:val="008C4A9C"/>
    <w:rsid w:val="008D3A95"/>
    <w:rsid w:val="00930482"/>
    <w:rsid w:val="0093248F"/>
    <w:rsid w:val="0095412F"/>
    <w:rsid w:val="009565CF"/>
    <w:rsid w:val="00964A08"/>
    <w:rsid w:val="009819A3"/>
    <w:rsid w:val="009E6C65"/>
    <w:rsid w:val="00A031E6"/>
    <w:rsid w:val="00A220E7"/>
    <w:rsid w:val="00A44408"/>
    <w:rsid w:val="00A67880"/>
    <w:rsid w:val="00A7263A"/>
    <w:rsid w:val="00AA3ECD"/>
    <w:rsid w:val="00AB2935"/>
    <w:rsid w:val="00AC74C3"/>
    <w:rsid w:val="00AD7724"/>
    <w:rsid w:val="00AE2149"/>
    <w:rsid w:val="00AE7C34"/>
    <w:rsid w:val="00AF39A0"/>
    <w:rsid w:val="00B50BD2"/>
    <w:rsid w:val="00B61FBE"/>
    <w:rsid w:val="00B67E97"/>
    <w:rsid w:val="00B70D08"/>
    <w:rsid w:val="00B95974"/>
    <w:rsid w:val="00BA1A00"/>
    <w:rsid w:val="00BE034A"/>
    <w:rsid w:val="00BF5677"/>
    <w:rsid w:val="00C06399"/>
    <w:rsid w:val="00C47F91"/>
    <w:rsid w:val="00C53C9C"/>
    <w:rsid w:val="00C6059E"/>
    <w:rsid w:val="00C72A2C"/>
    <w:rsid w:val="00C73EF6"/>
    <w:rsid w:val="00C95933"/>
    <w:rsid w:val="00C96089"/>
    <w:rsid w:val="00CA04CF"/>
    <w:rsid w:val="00CF20A6"/>
    <w:rsid w:val="00D114D0"/>
    <w:rsid w:val="00D15F9C"/>
    <w:rsid w:val="00D375FE"/>
    <w:rsid w:val="00D512CA"/>
    <w:rsid w:val="00D5231C"/>
    <w:rsid w:val="00D563A1"/>
    <w:rsid w:val="00D81F5D"/>
    <w:rsid w:val="00D87B21"/>
    <w:rsid w:val="00DD4FEF"/>
    <w:rsid w:val="00DF1A7B"/>
    <w:rsid w:val="00E050C8"/>
    <w:rsid w:val="00E06A17"/>
    <w:rsid w:val="00E17C11"/>
    <w:rsid w:val="00E27278"/>
    <w:rsid w:val="00E3677E"/>
    <w:rsid w:val="00E517A7"/>
    <w:rsid w:val="00E56C33"/>
    <w:rsid w:val="00E82FD6"/>
    <w:rsid w:val="00E91924"/>
    <w:rsid w:val="00E94335"/>
    <w:rsid w:val="00EA083A"/>
    <w:rsid w:val="00ED4E85"/>
    <w:rsid w:val="00F06E75"/>
    <w:rsid w:val="00F564B1"/>
    <w:rsid w:val="00F97B4E"/>
    <w:rsid w:val="00FE7AEF"/>
    <w:rsid w:val="05EC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2"/>
    <w:qFormat/>
    <w:uiPriority w:val="99"/>
    <w:pPr>
      <w:widowControl w:val="0"/>
      <w:jc w:val="center"/>
    </w:pPr>
    <w:rPr>
      <w:rFonts w:ascii="Times New Roman" w:hAnsi="Times New Roman" w:cs="Times New Roman"/>
      <w:kern w:val="2"/>
      <w:szCs w:val="21"/>
    </w:rPr>
  </w:style>
  <w:style w:type="paragraph" w:styleId="3">
    <w:name w:val="Salutation"/>
    <w:basedOn w:val="1"/>
    <w:next w:val="1"/>
    <w:link w:val="11"/>
    <w:qFormat/>
    <w:uiPriority w:val="99"/>
    <w:pPr>
      <w:widowControl w:val="0"/>
      <w:jc w:val="both"/>
    </w:pPr>
    <w:rPr>
      <w:rFonts w:ascii="Times New Roman" w:hAnsi="Times New Roman" w:cs="Times New Roman"/>
      <w:kern w:val="2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称呼 字符"/>
    <w:link w:val="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注释标题 字符"/>
    <w:link w:val="2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42261-B0F3-468C-BBAB-7F56DE2EB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2026-05-09T06:26:00Z</dcterms:created>
  <dc:creator>user</dc:creator>
  <cp:lastModifiedBy>user</cp:lastModifiedBy>
  <dcterms:modified xsi:type="dcterms:W3CDTF">2026-05-12T08:35:41Z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