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“锦鲤鱼半年享A款”净值型人民币理财产品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2026年第2季度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产品管理人：江苏苏州农村商业银行股份有限公司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产品托管人：招商银行股份有限公司苏州分行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招商银行股份有限公司苏州分行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自2026-04-01起至2026-06-30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“锦鲤鱼半年享A款”净值型人民币理财产品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C1115821000002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江苏苏州农村商业银行股份有限公司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招商银行股份有限公司苏州分行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2021-02-09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1,676,753,891.01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[1.75%-2.3%]/年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105.20%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苏州农商银行锦鲤鱼半年享A款理财产品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512903241510407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招商银行苏州分行营业部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b/>
              </w:rPr>
              <w:t>净值增长率</w:t>
            </w:r>
            <w:r>
              <w:rPr>
                <w:rFonts w:hint="eastAsia"/>
                <w:b/>
              </w:rPr>
              <w:t>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2026-04-01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2026-06-30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15.77</w:t>
            </w:r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2026-04-01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2026-06-30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bookmarkStart w:id="1" w:name="_Hlk29928922"/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-398,488.28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本期利润</w:t>
            </w:r>
          </w:p>
        </w:tc>
        <w:tc>
          <w:tcPr>
            <w:tcW w:w="5027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1,614,701.21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期末产品资产净值</w:t>
            </w:r>
          </w:p>
        </w:tc>
        <w:tc>
          <w:tcPr>
            <w:tcW w:w="5027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1,941,214,383.10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期末产品份额净值</w:t>
            </w:r>
          </w:p>
        </w:tc>
        <w:tc>
          <w:tcPr>
            <w:tcW w:w="5027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1.15772171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1.15772171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1,941,214,383.10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1.15772171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1.15772171</w:t>
            </w:r>
          </w:p>
        </w:tc>
      </w:tr>
      <w:bookmarkEnd w:id="1"/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5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1,961,221,884.52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96.04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1,961,221,884.52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96.04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80,951,512.99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7.29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2,042,173,404.80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1.理财投资组合流动性风险分析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本产品投资运营过程中，管理人综合考虑了资产流动性、产品赎回压力和负债到期情况，采用了合理的流动性管理手段，流动性风险总体可控。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2.理财投资组合其他风险分析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本产品投资运营过程中，管理人对产品的信用风险、市场风险、法律合规风险等各类风险建立完善的风控机制，相关风险总体可控。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23苏州银行二级01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63,593,315.34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2" w:name="OLE_LINK6"/>
            <w:bookmarkStart w:id="3" w:name="OLE_LINK5"/>
            <w:r>
              <w:rPr>
                <w:rFonts w:ascii="宋体" w:hAnsi="宋体"/>
              </w:rPr>
              <w:t>3.28</w:t>
            </w:r>
            <w:bookmarkEnd w:id="2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23人民人寿资本补充债01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62,082,331.23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3.20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23余杭城投PPN005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51,431,475.34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24平安人寿永续债01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51,187,528.08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25平安银行永续债01BC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51,118,271.92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25国开02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50,164,344.52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22农行二级资本债02A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41,663,633.97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23南通经开PPN002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41,254,877.81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24慈溪01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41,096,035.62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ind w:hanging="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i w:val="0"/>
                <w:strike w:val="0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ind w:hanging="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25工行二级资本债01BC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40,732,229.04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ind w:hanging="1"/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b w:val="0"/>
                <w:i w:val="0"/>
                <w:strike w:val="0"/>
                <w:u w:val="none"/>
              </w:rPr>
              <w:t>2.10</w:t>
            </w: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江苏苏州农村商业银行股份有限公司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2026-0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ascii="宋体" w:hAnsi="宋体"/>
          <w:sz w:val="28"/>
          <w:szCs w:val="28"/>
        </w:rPr>
        <w:t>-</w:t>
      </w:r>
      <w:r>
        <w:rPr>
          <w:rFonts w:hint="eastAsia" w:ascii="宋体" w:hAnsi="宋体"/>
          <w:sz w:val="28"/>
          <w:szCs w:val="28"/>
          <w:lang w:val="en-US" w:eastAsia="zh-CN"/>
        </w:rPr>
        <w:t>30</w:t>
      </w:r>
      <w:bookmarkStart w:id="4" w:name="_GoBack"/>
      <w:bookmarkEnd w:id="4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8FE406C"/>
    <w:rsid w:val="134C76E8"/>
    <w:rsid w:val="23AB2840"/>
    <w:rsid w:val="339E2F39"/>
    <w:rsid w:val="38A16717"/>
    <w:rsid w:val="46A87316"/>
    <w:rsid w:val="4797048F"/>
    <w:rsid w:val="4D840633"/>
    <w:rsid w:val="512D246A"/>
    <w:rsid w:val="54B27197"/>
    <w:rsid w:val="5A9E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user</cp:lastModifiedBy>
  <cp:lastPrinted>2411-12-31T16:00:00Z</cp:lastPrinted>
  <dcterms:modified xsi:type="dcterms:W3CDTF">2026-07-20T06:07:34Z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9CB533ECABB5451FB97725926A26D1C2</vt:lpwstr>
  </property>
</Properties>
</file>