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00" w:firstLineChars="200"/>
        <w:rPr>
          <w:rFonts w:ascii="黑体" w:hAnsi="黑体" w:eastAsia="黑体" w:cs="KFWCQV+ËÎÌå"/>
          <w:sz w:val="30"/>
          <w:szCs w:val="30"/>
          <w:highlight w:val="none"/>
        </w:rPr>
      </w:pPr>
      <w:bookmarkStart w:id="0" w:name="_GoBack"/>
      <w:bookmarkEnd w:id="0"/>
    </w:p>
    <w:p>
      <w:pPr>
        <w:adjustRightInd w:val="0"/>
        <w:snapToGrid w:val="0"/>
        <w:jc w:val="both"/>
        <w:outlineLvl w:val="0"/>
        <w:rPr>
          <w:rFonts w:ascii="黑体" w:eastAsia="黑体"/>
          <w:sz w:val="36"/>
          <w:szCs w:val="36"/>
          <w:highlight w:val="none"/>
        </w:rPr>
      </w:pPr>
    </w:p>
    <w:p>
      <w:pPr>
        <w:adjustRightInd w:val="0"/>
        <w:snapToGrid w:val="0"/>
        <w:jc w:val="center"/>
        <w:outlineLvl w:val="0"/>
        <w:rPr>
          <w:rFonts w:ascii="黑体" w:eastAsia="黑体"/>
          <w:sz w:val="36"/>
          <w:szCs w:val="36"/>
          <w:highlight w:val="none"/>
        </w:rPr>
      </w:pPr>
      <w:r>
        <w:rPr>
          <w:rFonts w:hint="eastAsia" w:ascii="黑体" w:eastAsia="黑体"/>
          <w:sz w:val="36"/>
          <w:szCs w:val="36"/>
          <w:highlight w:val="none"/>
        </w:rPr>
        <w:t>20</w:t>
      </w:r>
      <w:r>
        <w:rPr>
          <w:rFonts w:ascii="黑体" w:eastAsia="黑体"/>
          <w:sz w:val="36"/>
          <w:szCs w:val="36"/>
          <w:highlight w:val="none"/>
        </w:rPr>
        <w:t>2</w:t>
      </w:r>
      <w:r>
        <w:rPr>
          <w:rFonts w:hint="eastAsia" w:ascii="黑体" w:eastAsia="黑体"/>
          <w:sz w:val="36"/>
          <w:szCs w:val="36"/>
          <w:highlight w:val="none"/>
          <w:lang w:val="en-US" w:eastAsia="zh-CN"/>
        </w:rPr>
        <w:t>5</w:t>
      </w:r>
      <w:r>
        <w:rPr>
          <w:rFonts w:hint="eastAsia" w:ascii="黑体" w:eastAsia="黑体"/>
          <w:sz w:val="36"/>
          <w:szCs w:val="36"/>
          <w:highlight w:val="none"/>
        </w:rPr>
        <w:t>年</w:t>
      </w:r>
      <w:r>
        <w:rPr>
          <w:rFonts w:hint="eastAsia" w:ascii="黑体" w:eastAsia="黑体"/>
          <w:sz w:val="36"/>
          <w:szCs w:val="36"/>
          <w:highlight w:val="none"/>
          <w:lang w:eastAsia="zh-CN"/>
        </w:rPr>
        <w:t>一</w:t>
      </w:r>
      <w:r>
        <w:rPr>
          <w:rFonts w:hint="eastAsia" w:ascii="黑体" w:eastAsia="黑体"/>
          <w:sz w:val="36"/>
          <w:szCs w:val="36"/>
          <w:highlight w:val="none"/>
        </w:rPr>
        <w:t>季度关联交易专项报告</w:t>
      </w:r>
      <w:r>
        <w:rPr>
          <w:rStyle w:val="13"/>
          <w:rFonts w:hint="eastAsia" w:ascii="黑体" w:eastAsia="黑体"/>
          <w:sz w:val="36"/>
          <w:szCs w:val="36"/>
          <w:highlight w:val="none"/>
        </w:rPr>
        <w:footnoteReference w:id="0"/>
      </w:r>
    </w:p>
    <w:p>
      <w:pPr>
        <w:adjustRightInd w:val="0"/>
        <w:snapToGrid w:val="0"/>
        <w:jc w:val="center"/>
        <w:rPr>
          <w:rFonts w:ascii="黑体" w:eastAsia="黑体"/>
          <w:sz w:val="36"/>
          <w:szCs w:val="36"/>
          <w:highlight w:val="none"/>
        </w:rPr>
      </w:pPr>
    </w:p>
    <w:p>
      <w:pPr>
        <w:spacing w:line="600" w:lineRule="exact"/>
        <w:ind w:firstLine="600" w:firstLineChars="20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根据《银行保险机构关联交易管理办法》及本行《章程》《关联交易管理办法》的有关规定，现将本行</w:t>
      </w:r>
      <w:r>
        <w:rPr>
          <w:rFonts w:ascii="仿宋_GB2312" w:hAnsi="仿宋" w:eastAsia="仿宋_GB2312"/>
          <w:sz w:val="30"/>
          <w:szCs w:val="30"/>
          <w:highlight w:val="none"/>
        </w:rPr>
        <w:t>202</w:t>
      </w:r>
      <w:r>
        <w:rPr>
          <w:rFonts w:hint="eastAsia" w:ascii="仿宋_GB2312" w:hAnsi="仿宋" w:eastAsia="仿宋_GB2312"/>
          <w:sz w:val="30"/>
          <w:szCs w:val="30"/>
          <w:highlight w:val="none"/>
          <w:lang w:val="en-US" w:eastAsia="zh-CN"/>
        </w:rPr>
        <w:t>5</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一</w:t>
      </w:r>
      <w:r>
        <w:rPr>
          <w:rFonts w:hint="eastAsia" w:ascii="仿宋_GB2312" w:hAnsi="仿宋" w:eastAsia="仿宋_GB2312" w:cs="KFWCQV+ËÎÌå"/>
          <w:sz w:val="30"/>
          <w:szCs w:val="30"/>
          <w:highlight w:val="none"/>
        </w:rPr>
        <w:t>季度关联交易情况报告如下：</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一、关联交易管理情况</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一</w:t>
      </w:r>
      <w:r>
        <w:rPr>
          <w:rFonts w:hint="eastAsia" w:ascii="仿宋_GB2312" w:hAnsi="仿宋" w:eastAsia="仿宋_GB2312" w:cs="JNNOKE+ËÎÌå"/>
          <w:sz w:val="30"/>
          <w:szCs w:val="30"/>
          <w:highlight w:val="none"/>
        </w:rPr>
        <w:t>季度，本行董事会风险管理及关联交易控制委员会召开会议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次，审议通过了</w:t>
      </w:r>
      <w:r>
        <w:rPr>
          <w:rFonts w:hint="eastAsia" w:ascii="仿宋_GB2312" w:hAnsi="宋体" w:eastAsia="仿宋_GB2312"/>
          <w:sz w:val="30"/>
          <w:szCs w:val="30"/>
          <w:highlight w:val="none"/>
          <w:lang w:eastAsia="zh-CN"/>
        </w:rPr>
        <w:t>《</w:t>
      </w:r>
      <w:r>
        <w:rPr>
          <w:rFonts w:ascii="仿宋_GB2312" w:hAnsi="宋体" w:eastAsia="仿宋_GB2312"/>
          <w:sz w:val="30"/>
          <w:szCs w:val="30"/>
          <w:highlight w:val="none"/>
        </w:rPr>
        <w:t>202</w:t>
      </w:r>
      <w:r>
        <w:rPr>
          <w:rFonts w:hint="eastAsia" w:ascii="仿宋_GB2312" w:hAnsi="宋体" w:eastAsia="仿宋_GB2312"/>
          <w:sz w:val="30"/>
          <w:szCs w:val="30"/>
          <w:highlight w:val="none"/>
          <w:lang w:val="en-US" w:eastAsia="zh-CN"/>
        </w:rPr>
        <w:t>4</w:t>
      </w:r>
      <w:r>
        <w:rPr>
          <w:rFonts w:ascii="仿宋_GB2312" w:hAnsi="宋体" w:eastAsia="仿宋_GB2312"/>
          <w:sz w:val="30"/>
          <w:szCs w:val="30"/>
          <w:highlight w:val="none"/>
        </w:rPr>
        <w:t>年</w:t>
      </w:r>
      <w:r>
        <w:rPr>
          <w:rFonts w:hint="eastAsia" w:ascii="仿宋_GB2312" w:hAnsi="宋体" w:eastAsia="仿宋_GB2312"/>
          <w:sz w:val="30"/>
          <w:szCs w:val="30"/>
          <w:highlight w:val="none"/>
          <w:lang w:eastAsia="zh-CN"/>
        </w:rPr>
        <w:t>四</w:t>
      </w:r>
      <w:r>
        <w:rPr>
          <w:rFonts w:ascii="仿宋_GB2312" w:hAnsi="宋体" w:eastAsia="仿宋_GB2312"/>
          <w:sz w:val="30"/>
          <w:szCs w:val="30"/>
          <w:highlight w:val="none"/>
        </w:rPr>
        <w:t>季度关联交易专项报告</w:t>
      </w:r>
      <w:r>
        <w:rPr>
          <w:rFonts w:hint="eastAsia" w:ascii="仿宋_GB2312" w:hAnsi="宋体" w:eastAsia="仿宋_GB2312"/>
          <w:sz w:val="30"/>
          <w:szCs w:val="30"/>
          <w:highlight w:val="none"/>
          <w:lang w:eastAsia="zh-CN"/>
        </w:rPr>
        <w:t>》《</w:t>
      </w:r>
      <w:r>
        <w:rPr>
          <w:rFonts w:ascii="仿宋_GB2312" w:hAnsi="宋体" w:eastAsia="仿宋_GB2312"/>
          <w:sz w:val="30"/>
          <w:szCs w:val="30"/>
          <w:highlight w:val="none"/>
        </w:rPr>
        <w:t>202</w:t>
      </w:r>
      <w:r>
        <w:rPr>
          <w:rFonts w:hint="eastAsia" w:ascii="仿宋_GB2312" w:hAnsi="宋体" w:eastAsia="仿宋_GB2312"/>
          <w:sz w:val="30"/>
          <w:szCs w:val="30"/>
          <w:highlight w:val="none"/>
          <w:lang w:val="en-US" w:eastAsia="zh-CN"/>
        </w:rPr>
        <w:t>4</w:t>
      </w:r>
      <w:r>
        <w:rPr>
          <w:rFonts w:ascii="仿宋_GB2312" w:hAnsi="宋体" w:eastAsia="仿宋_GB2312"/>
          <w:sz w:val="30"/>
          <w:szCs w:val="30"/>
          <w:highlight w:val="none"/>
        </w:rPr>
        <w:t>年</w:t>
      </w:r>
      <w:r>
        <w:rPr>
          <w:rFonts w:hint="eastAsia" w:ascii="仿宋_GB2312" w:hAnsi="宋体" w:eastAsia="仿宋_GB2312"/>
          <w:sz w:val="30"/>
          <w:szCs w:val="30"/>
          <w:highlight w:val="none"/>
          <w:lang w:eastAsia="zh-CN"/>
        </w:rPr>
        <w:t>四</w:t>
      </w:r>
      <w:r>
        <w:rPr>
          <w:rFonts w:ascii="仿宋_GB2312" w:hAnsi="宋体" w:eastAsia="仿宋_GB2312"/>
          <w:sz w:val="30"/>
          <w:szCs w:val="30"/>
          <w:highlight w:val="none"/>
        </w:rPr>
        <w:t>季度关联交易备案报告</w:t>
      </w:r>
      <w:r>
        <w:rPr>
          <w:rFonts w:hint="eastAsia" w:ascii="仿宋_GB2312" w:hAnsi="宋体" w:eastAsia="仿宋_GB2312"/>
          <w:sz w:val="30"/>
          <w:szCs w:val="30"/>
          <w:highlight w:val="none"/>
          <w:lang w:eastAsia="zh-CN"/>
        </w:rPr>
        <w:t>》《202</w:t>
      </w:r>
      <w:r>
        <w:rPr>
          <w:rFonts w:hint="eastAsia" w:ascii="仿宋_GB2312" w:hAnsi="宋体" w:eastAsia="仿宋_GB2312"/>
          <w:sz w:val="30"/>
          <w:szCs w:val="30"/>
          <w:highlight w:val="none"/>
          <w:lang w:val="en-US" w:eastAsia="zh-CN"/>
        </w:rPr>
        <w:t>4</w:t>
      </w:r>
      <w:r>
        <w:rPr>
          <w:rFonts w:hint="eastAsia" w:ascii="仿宋_GB2312" w:hAnsi="宋体" w:eastAsia="仿宋_GB2312"/>
          <w:sz w:val="30"/>
          <w:szCs w:val="30"/>
          <w:highlight w:val="none"/>
          <w:lang w:eastAsia="zh-CN"/>
        </w:rPr>
        <w:t>年末董事关联关系情况报告》《</w:t>
      </w:r>
      <w:r>
        <w:rPr>
          <w:rFonts w:ascii="仿宋_GB2312" w:hAnsi="宋体" w:eastAsia="仿宋_GB2312"/>
          <w:sz w:val="30"/>
          <w:szCs w:val="30"/>
          <w:highlight w:val="none"/>
        </w:rPr>
        <w:t>风险管理及关联交易控制委员会2024年工作情况报告及2025年工作计划</w:t>
      </w:r>
      <w:r>
        <w:rPr>
          <w:rFonts w:hint="eastAsia" w:ascii="仿宋_GB2312" w:hAnsi="宋体" w:eastAsia="仿宋_GB2312"/>
          <w:sz w:val="30"/>
          <w:szCs w:val="30"/>
          <w:highlight w:val="none"/>
          <w:lang w:eastAsia="zh-CN"/>
        </w:rPr>
        <w:t>》</w:t>
      </w:r>
      <w:r>
        <w:rPr>
          <w:rFonts w:hint="eastAsia" w:ascii="仿宋_GB2312" w:hAnsi="宋体" w:eastAsia="仿宋_GB2312"/>
          <w:sz w:val="30"/>
          <w:szCs w:val="30"/>
          <w:highlight w:val="none"/>
          <w:lang w:val="en-US" w:eastAsia="zh-CN"/>
        </w:rPr>
        <w:t>等</w:t>
      </w:r>
      <w:r>
        <w:rPr>
          <w:rFonts w:hint="eastAsia" w:ascii="仿宋_GB2312" w:hAnsi="宋体" w:eastAsia="仿宋_GB2312"/>
          <w:sz w:val="30"/>
          <w:szCs w:val="30"/>
          <w:highlight w:val="none"/>
          <w:lang w:eastAsia="zh-CN"/>
        </w:rPr>
        <w:t>议案</w:t>
      </w:r>
      <w:r>
        <w:rPr>
          <w:rFonts w:hint="eastAsia" w:ascii="仿宋_GB2312" w:hAnsi="仿宋" w:eastAsia="仿宋_GB2312" w:cs="JNNOKE+ËÎÌå"/>
          <w:sz w:val="30"/>
          <w:szCs w:val="30"/>
          <w:highlight w:val="none"/>
        </w:rPr>
        <w:t>。董事会召开与关联交易相关的会议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w:t>
      </w:r>
      <w:r>
        <w:rPr>
          <w:rFonts w:hint="eastAsia" w:ascii="仿宋_GB2312" w:hAnsi="仿宋" w:eastAsia="仿宋_GB2312" w:cs="JNNOKE+ËÎÌå"/>
          <w:sz w:val="30"/>
          <w:szCs w:val="30"/>
          <w:highlight w:val="none"/>
          <w:lang w:eastAsia="zh-CN"/>
        </w:rPr>
        <w:t>审议通过了《</w:t>
      </w:r>
      <w:r>
        <w:rPr>
          <w:rFonts w:hint="eastAsia" w:ascii="仿宋_GB2312" w:hAnsi="宋体" w:eastAsia="仿宋_GB2312"/>
          <w:sz w:val="32"/>
          <w:szCs w:val="32"/>
          <w:highlight w:val="none"/>
        </w:rPr>
        <w:t>关于修订</w:t>
      </w:r>
      <w:r>
        <w:rPr>
          <w:rFonts w:hint="eastAsia" w:ascii="仿宋_GB2312" w:hAnsi="宋体" w:eastAsia="仿宋_GB2312"/>
          <w:sz w:val="32"/>
          <w:szCs w:val="32"/>
          <w:highlight w:val="none"/>
          <w:lang w:val="en-US" w:eastAsia="zh-CN"/>
        </w:rPr>
        <w:t>&lt;</w:t>
      </w:r>
      <w:r>
        <w:rPr>
          <w:rFonts w:hint="eastAsia" w:ascii="仿宋_GB2312" w:hAnsi="宋体" w:eastAsia="仿宋_GB2312"/>
          <w:sz w:val="32"/>
          <w:szCs w:val="32"/>
          <w:highlight w:val="none"/>
        </w:rPr>
        <w:t>董事会风险管理及关联交易控制委员会工作细则</w:t>
      </w:r>
      <w:r>
        <w:rPr>
          <w:rFonts w:hint="eastAsia" w:ascii="仿宋_GB2312" w:hAnsi="宋体" w:eastAsia="仿宋_GB2312"/>
          <w:sz w:val="32"/>
          <w:szCs w:val="32"/>
          <w:highlight w:val="none"/>
          <w:lang w:val="en-US" w:eastAsia="zh-CN"/>
        </w:rPr>
        <w:t>&gt;</w:t>
      </w:r>
      <w:r>
        <w:rPr>
          <w:rFonts w:hint="eastAsia" w:ascii="仿宋_GB2312" w:hAnsi="宋体" w:eastAsia="仿宋_GB2312"/>
          <w:sz w:val="32"/>
          <w:szCs w:val="32"/>
          <w:highlight w:val="none"/>
        </w:rPr>
        <w:t>的议案</w:t>
      </w:r>
      <w:r>
        <w:rPr>
          <w:rFonts w:hint="eastAsia" w:ascii="仿宋_GB2312" w:hAnsi="仿宋" w:eastAsia="仿宋_GB2312" w:cs="JNNOKE+ËÎÌå"/>
          <w:sz w:val="30"/>
          <w:szCs w:val="30"/>
          <w:highlight w:val="none"/>
          <w:lang w:eastAsia="zh-CN"/>
        </w:rPr>
        <w:t>》的议案，审阅了《202</w:t>
      </w:r>
      <w:r>
        <w:rPr>
          <w:rFonts w:hint="eastAsia" w:ascii="仿宋_GB2312" w:hAnsi="仿宋" w:eastAsia="仿宋_GB2312" w:cs="JNNOKE+ËÎÌå"/>
          <w:sz w:val="30"/>
          <w:szCs w:val="30"/>
          <w:highlight w:val="none"/>
          <w:lang w:val="en-US" w:eastAsia="zh-CN"/>
        </w:rPr>
        <w:t>4</w:t>
      </w:r>
      <w:r>
        <w:rPr>
          <w:rFonts w:hint="eastAsia" w:ascii="仿宋_GB2312" w:hAnsi="仿宋" w:eastAsia="仿宋_GB2312" w:cs="JNNOKE+ËÎÌå"/>
          <w:sz w:val="30"/>
          <w:szCs w:val="30"/>
          <w:highlight w:val="none"/>
          <w:lang w:eastAsia="zh-CN"/>
        </w:rPr>
        <w:t>年末董事关联关系情况报告》。</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二、关联交易制度执行情况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JNNOKE+ËÎÌå"/>
          <w:sz w:val="30"/>
          <w:szCs w:val="30"/>
          <w:highlight w:val="none"/>
        </w:rPr>
        <w:t>（一）</w:t>
      </w:r>
      <w:r>
        <w:rPr>
          <w:rFonts w:hint="eastAsia" w:ascii="仿宋_GB2312" w:hAnsi="仿宋" w:eastAsia="仿宋_GB2312" w:cs="CVGVTE+ËÎÌå"/>
          <w:sz w:val="30"/>
          <w:szCs w:val="30"/>
          <w:highlight w:val="none"/>
        </w:rPr>
        <w:t>关联交易定价情况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CVGVTE+ËÎÌå"/>
          <w:sz w:val="30"/>
          <w:szCs w:val="30"/>
          <w:highlight w:val="none"/>
        </w:rPr>
        <w:t>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（二）关联交易流程管理情况</w:t>
      </w:r>
    </w:p>
    <w:p>
      <w:pPr>
        <w:spacing w:line="600" w:lineRule="exact"/>
        <w:ind w:firstLine="600" w:firstLineChars="200"/>
        <w:rPr>
          <w:rFonts w:hint="eastAsia" w:ascii="仿宋_GB2312" w:hAnsi="仿宋" w:eastAsia="仿宋_GB2312" w:cs="JNNOKE+ËÎÌå"/>
          <w:sz w:val="30"/>
          <w:szCs w:val="30"/>
          <w:highlight w:val="none"/>
          <w:lang w:val="en-US" w:eastAsia="zh-CN"/>
        </w:rPr>
      </w:pPr>
      <w:r>
        <w:rPr>
          <w:rFonts w:hint="eastAsia" w:ascii="仿宋_GB2312" w:hAnsi="仿宋" w:eastAsia="仿宋_GB2312" w:cs="JNNOKE+ËÎÌå"/>
          <w:sz w:val="30"/>
          <w:szCs w:val="30"/>
          <w:highlight w:val="none"/>
          <w:lang w:val="en-US" w:eastAsia="zh-CN"/>
        </w:rPr>
        <w:t>本行授信类及非授信类交易业务流程均加入关联交易审核节点，严格落实关联方审批规范及限额管理。</w:t>
      </w:r>
    </w:p>
    <w:p>
      <w:pPr>
        <w:spacing w:line="600" w:lineRule="exact"/>
        <w:ind w:firstLine="600" w:firstLineChars="200"/>
        <w:rPr>
          <w:rFonts w:ascii="仿宋_GB2312" w:hAnsi="仿宋" w:eastAsia="仿宋_GB2312" w:cs="JNNOKE+ËÎÌå"/>
          <w:sz w:val="30"/>
          <w:szCs w:val="30"/>
          <w:highlight w:val="none"/>
        </w:rPr>
      </w:pPr>
      <w:r>
        <w:rPr>
          <w:rFonts w:hint="eastAsia" w:ascii="仿宋_GB2312" w:hAnsi="仿宋" w:eastAsia="仿宋_GB2312" w:cs="JNNOKE+ËÎÌå"/>
          <w:sz w:val="30"/>
          <w:szCs w:val="30"/>
          <w:highlight w:val="none"/>
        </w:rPr>
        <w:t>（</w:t>
      </w:r>
      <w:r>
        <w:rPr>
          <w:rFonts w:hint="eastAsia" w:ascii="仿宋_GB2312" w:hAnsi="仿宋" w:eastAsia="仿宋_GB2312" w:cs="JNNOKE+ËÎÌå"/>
          <w:sz w:val="30"/>
          <w:szCs w:val="30"/>
          <w:highlight w:val="none"/>
          <w:lang w:eastAsia="zh-CN"/>
        </w:rPr>
        <w:t>三</w:t>
      </w:r>
      <w:r>
        <w:rPr>
          <w:rFonts w:hint="eastAsia" w:ascii="仿宋_GB2312" w:hAnsi="仿宋" w:eastAsia="仿宋_GB2312" w:cs="JNNOKE+ËÎÌå"/>
          <w:sz w:val="30"/>
          <w:szCs w:val="30"/>
          <w:highlight w:val="none"/>
        </w:rPr>
        <w:t>）关联交易披露与报告情况</w:t>
      </w:r>
    </w:p>
    <w:p>
      <w:pPr>
        <w:spacing w:line="600" w:lineRule="exact"/>
        <w:ind w:firstLine="600" w:firstLineChars="200"/>
        <w:outlineLvl w:val="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报告期内，</w:t>
      </w:r>
      <w:r>
        <w:rPr>
          <w:rFonts w:hint="eastAsia" w:ascii="仿宋_GB2312" w:hAnsi="仿宋" w:eastAsia="仿宋_GB2312" w:cs="JNNOKE+ËÎÌå"/>
          <w:sz w:val="30"/>
          <w:szCs w:val="30"/>
          <w:highlight w:val="none"/>
        </w:rPr>
        <w:t>本行严格按照监管机构规定及本行相关制度要求，履行</w:t>
      </w:r>
      <w:r>
        <w:rPr>
          <w:rFonts w:hint="eastAsia" w:ascii="仿宋_GB2312" w:hAnsi="仿宋" w:eastAsia="仿宋_GB2312" w:cs="JNNOKE+ËÎÌå"/>
          <w:sz w:val="30"/>
          <w:szCs w:val="30"/>
          <w:highlight w:val="none"/>
          <w:lang w:eastAsia="zh-CN"/>
        </w:rPr>
        <w:t>关联交易信息披露义务，切实保障股东对本行关联交易的知情权，维护股东利益。本行</w:t>
      </w:r>
      <w:r>
        <w:rPr>
          <w:rFonts w:hint="eastAsia" w:ascii="仿宋_GB2312" w:hAnsi="仿宋" w:eastAsia="仿宋_GB2312" w:cs="JNNOKE+ËÎÌå"/>
          <w:sz w:val="30"/>
          <w:szCs w:val="30"/>
          <w:highlight w:val="none"/>
          <w:lang w:val="en-US" w:eastAsia="zh-CN"/>
        </w:rPr>
        <w:t>四</w:t>
      </w:r>
      <w:r>
        <w:rPr>
          <w:rFonts w:hint="eastAsia" w:ascii="仿宋_GB2312" w:hAnsi="仿宋" w:eastAsia="仿宋_GB2312" w:cs="JNNOKE+ËÎÌå"/>
          <w:sz w:val="30"/>
          <w:szCs w:val="30"/>
          <w:highlight w:val="none"/>
          <w:lang w:eastAsia="zh-CN"/>
        </w:rPr>
        <w:t>季度关联交易在官方网站进行了合并披露。</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三、</w:t>
      </w:r>
      <w:r>
        <w:rPr>
          <w:rFonts w:ascii="黑体" w:hAnsi="黑体" w:eastAsia="黑体" w:cs="KFWCQV+ËÎÌå"/>
          <w:sz w:val="30"/>
          <w:szCs w:val="30"/>
          <w:highlight w:val="none"/>
        </w:rPr>
        <w:t>202</w:t>
      </w:r>
      <w:r>
        <w:rPr>
          <w:rFonts w:hint="eastAsia" w:ascii="黑体" w:hAnsi="黑体" w:eastAsia="黑体" w:cs="KFWCQV+ËÎÌå"/>
          <w:sz w:val="30"/>
          <w:szCs w:val="30"/>
          <w:highlight w:val="none"/>
          <w:lang w:val="en-US" w:eastAsia="zh-CN"/>
        </w:rPr>
        <w:t>5</w:t>
      </w:r>
      <w:r>
        <w:rPr>
          <w:rFonts w:hint="eastAsia" w:ascii="黑体" w:hAnsi="黑体" w:eastAsia="黑体" w:cs="KFWCQV+ËÎÌå"/>
          <w:sz w:val="30"/>
          <w:szCs w:val="30"/>
          <w:highlight w:val="none"/>
        </w:rPr>
        <w:t>年</w:t>
      </w:r>
      <w:r>
        <w:rPr>
          <w:rFonts w:hint="eastAsia" w:ascii="黑体" w:hAnsi="黑体" w:eastAsia="黑体" w:cs="KFWCQV+ËÎÌå"/>
          <w:sz w:val="30"/>
          <w:szCs w:val="30"/>
          <w:highlight w:val="none"/>
          <w:lang w:eastAsia="zh-CN"/>
        </w:rPr>
        <w:t>一</w:t>
      </w:r>
      <w:r>
        <w:rPr>
          <w:rFonts w:hint="eastAsia" w:ascii="黑体" w:hAnsi="黑体" w:eastAsia="黑体" w:cs="KFWCQV+ËÎÌå"/>
          <w:sz w:val="30"/>
          <w:szCs w:val="30"/>
          <w:highlight w:val="none"/>
        </w:rPr>
        <w:t>季度主要关联交易情况</w:t>
      </w:r>
    </w:p>
    <w:p>
      <w:pPr>
        <w:spacing w:line="600" w:lineRule="exact"/>
        <w:ind w:firstLine="600" w:firstLineChars="200"/>
        <w:rPr>
          <w:rFonts w:cs="KFWCQV+ËÎÌå" w:asciiTheme="minorEastAsia" w:hAnsiTheme="minorEastAsia" w:eastAsiaTheme="minorEastAsia"/>
          <w:sz w:val="22"/>
          <w:highlight w:val="none"/>
        </w:rPr>
      </w:pPr>
      <w:r>
        <w:rPr>
          <w:rFonts w:hint="eastAsia" w:ascii="仿宋_GB2312" w:hAnsi="仿宋" w:eastAsia="仿宋_GB2312" w:cs="KFWCQV+ËÎÌå"/>
          <w:sz w:val="30"/>
          <w:szCs w:val="30"/>
          <w:highlight w:val="none"/>
        </w:rPr>
        <w:t>截至</w:t>
      </w:r>
      <w:r>
        <w:rPr>
          <w:rFonts w:ascii="仿宋_GB2312" w:hAnsi="仿宋" w:eastAsia="仿宋_GB2312" w:cs="KFWCQV+ËÎÌå"/>
          <w:sz w:val="30"/>
          <w:szCs w:val="30"/>
          <w:highlight w:val="none"/>
        </w:rPr>
        <w:t>202</w:t>
      </w:r>
      <w:r>
        <w:rPr>
          <w:rFonts w:hint="eastAsia" w:ascii="仿宋_GB2312" w:hAnsi="仿宋" w:eastAsia="仿宋_GB2312" w:cs="KFWCQV+ËÎÌå"/>
          <w:sz w:val="30"/>
          <w:szCs w:val="30"/>
          <w:highlight w:val="none"/>
          <w:lang w:val="en-US" w:eastAsia="zh-CN"/>
        </w:rPr>
        <w:t>5</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一</w:t>
      </w:r>
      <w:r>
        <w:rPr>
          <w:rFonts w:hint="eastAsia" w:ascii="仿宋_GB2312" w:hAnsi="仿宋" w:eastAsia="仿宋_GB2312" w:cs="KFWCQV+ËÎÌå"/>
          <w:sz w:val="30"/>
          <w:szCs w:val="30"/>
          <w:highlight w:val="none"/>
        </w:rPr>
        <w:t>季度末，本行与关联方企业之间发生的具体交易情况如下：</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1、存款类关联交易</w:t>
      </w:r>
    </w:p>
    <w:p>
      <w:pPr>
        <w:spacing w:line="600" w:lineRule="exact"/>
        <w:ind w:firstLine="440" w:firstLineChars="200"/>
        <w:jc w:val="right"/>
        <w:rPr>
          <w:rFonts w:ascii="仿宋_GB2312" w:hAnsi="仿宋" w:eastAsia="仿宋_GB2312" w:cs="KFWCQV+ËÎÌå"/>
          <w:sz w:val="30"/>
          <w:szCs w:val="30"/>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：万元</w:t>
      </w:r>
    </w:p>
    <w:tbl>
      <w:tblPr>
        <w:tblStyle w:val="8"/>
        <w:tblW w:w="9570" w:type="dxa"/>
        <w:jc w:val="center"/>
        <w:tblInd w:w="0" w:type="dxa"/>
        <w:tblLayout w:type="fixed"/>
        <w:tblCellMar>
          <w:top w:w="0" w:type="dxa"/>
          <w:left w:w="0" w:type="dxa"/>
          <w:bottom w:w="0" w:type="dxa"/>
          <w:right w:w="0" w:type="dxa"/>
        </w:tblCellMar>
      </w:tblPr>
      <w:tblGrid>
        <w:gridCol w:w="3953"/>
        <w:gridCol w:w="1130"/>
        <w:gridCol w:w="1487"/>
        <w:gridCol w:w="1636"/>
        <w:gridCol w:w="1364"/>
      </w:tblGrid>
      <w:tr>
        <w:tblPrEx>
          <w:tblLayout w:type="fixed"/>
          <w:tblCellMar>
            <w:top w:w="0" w:type="dxa"/>
            <w:left w:w="0" w:type="dxa"/>
            <w:bottom w:w="0" w:type="dxa"/>
            <w:right w:w="0" w:type="dxa"/>
          </w:tblCellMar>
        </w:tblPrEx>
        <w:trPr>
          <w:trHeight w:val="606"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关联方类型</w:t>
            </w:r>
          </w:p>
        </w:tc>
        <w:tc>
          <w:tcPr>
            <w:tcW w:w="11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3月末吸收存款总计</w:t>
            </w:r>
          </w:p>
        </w:tc>
        <w:tc>
          <w:tcPr>
            <w:tcW w:w="1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其中：保证金类</w:t>
            </w:r>
          </w:p>
        </w:tc>
        <w:tc>
          <w:tcPr>
            <w:tcW w:w="16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定期存款类</w:t>
            </w:r>
          </w:p>
        </w:tc>
        <w:tc>
          <w:tcPr>
            <w:tcW w:w="13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结构性存款类</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持有本行5%以上(含5%)股份的股东</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3411.91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90"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亨通集团有限公司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3062.37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江苏新恒通投资集团有限公司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349.55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本行的参控公司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江苏射阳农村商业银行股份有限公司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江苏东台农村商业银行股份有限公司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本行的子公司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9.07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江苏靖江润丰村镇银行股份有限公司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9.07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湖北嘉鱼吴江村镇银行股份有限公司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其他关联方企业</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57162.20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25422.97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6993.04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kern w:val="0"/>
                <w:sz w:val="20"/>
                <w:szCs w:val="20"/>
                <w:highlight w:val="none"/>
                <w:lang w:bidi="ar"/>
              </w:rPr>
            </w:pPr>
            <w:r>
              <w:rPr>
                <w:rFonts w:hint="eastAsia" w:ascii="宋体" w:hAnsi="宋体" w:eastAsia="宋体" w:cs="宋体"/>
                <w:b/>
                <w:i w:val="0"/>
                <w:color w:val="000000"/>
                <w:kern w:val="0"/>
                <w:sz w:val="20"/>
                <w:szCs w:val="20"/>
                <w:highlight w:val="none"/>
                <w:u w:val="none"/>
                <w:lang w:val="en-US" w:eastAsia="zh-CN" w:bidi="ar"/>
              </w:rPr>
              <w:t>关联自然人总计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highlight w:val="none"/>
                <w:u w:val="none"/>
                <w:lang w:val="en-US" w:eastAsia="zh-CN" w:bidi="ar"/>
              </w:rPr>
              <w:t>11763.15</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ascii="宋体" w:hAnsi="宋体" w:cs="宋体"/>
                <w:b/>
                <w:bCs/>
                <w:color w:val="000000"/>
                <w:kern w:val="0"/>
                <w:sz w:val="16"/>
                <w:szCs w:val="16"/>
                <w:highlight w:val="none"/>
                <w:lang w:bidi="ar"/>
              </w:rPr>
            </w:pP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highlight w:val="none"/>
                <w:u w:val="none"/>
                <w:lang w:val="en-US" w:eastAsia="zh-CN" w:bidi="ar"/>
              </w:rPr>
              <w:t>9755.02</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highlight w:val="none"/>
                <w:u w:val="none"/>
                <w:lang w:val="en-US" w:eastAsia="zh-CN" w:bidi="ar"/>
              </w:rPr>
              <w:t>36.44</w:t>
            </w:r>
          </w:p>
        </w:tc>
      </w:tr>
      <w:tr>
        <w:tblPrEx>
          <w:tblLayout w:type="fixed"/>
          <w:tblCellMar>
            <w:top w:w="0" w:type="dxa"/>
            <w:left w:w="0" w:type="dxa"/>
            <w:bottom w:w="0" w:type="dxa"/>
            <w:right w:w="0" w:type="dxa"/>
          </w:tblCellMar>
        </w:tblPrEx>
        <w:trPr>
          <w:trHeight w:val="324"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关联方合计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 xml:space="preserve">72337.26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 xml:space="preserve">28347.97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 xml:space="preserve">9755.02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 xml:space="preserve">7029.48 </w:t>
            </w:r>
          </w:p>
        </w:tc>
      </w:tr>
    </w:tbl>
    <w:p>
      <w:pPr>
        <w:ind w:firstLine="440" w:firstLineChars="200"/>
        <w:rPr>
          <w:rFonts w:cs="KFWCQV+ËÎÌå" w:asciiTheme="minorEastAsia" w:hAnsiTheme="minorEastAsia" w:eastAsiaTheme="minorEastAsia"/>
          <w:i/>
          <w:iCs/>
          <w:sz w:val="22"/>
          <w:highlight w:val="none"/>
        </w:rPr>
      </w:pPr>
      <w:r>
        <w:rPr>
          <w:rFonts w:hint="eastAsia" w:cs="KFWCQV+ËÎÌå" w:asciiTheme="minorEastAsia" w:hAnsiTheme="minorEastAsia" w:eastAsiaTheme="minorEastAsia"/>
          <w:sz w:val="22"/>
          <w:highlight w:val="none"/>
        </w:rPr>
        <w:t>注：吸收存款总计包括活期存款、定期存款、单位结构性存款、保证金；其中保证金合计项包括、担保公司保证金、信用证保证金、远期结售汇保证金、银行承兑汇票保证金、保函保证金。</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w:t>
      </w:r>
      <w:r>
        <w:rPr>
          <w:rFonts w:hint="eastAsia" w:ascii="仿宋_GB2312" w:hAnsi="仿宋" w:eastAsia="仿宋_GB2312" w:cs="KFWCQV+ËÎÌå"/>
          <w:sz w:val="30"/>
          <w:szCs w:val="30"/>
          <w:highlight w:val="none"/>
          <w:lang w:val="en-US" w:eastAsia="zh-CN"/>
        </w:rPr>
        <w:t>5</w:t>
      </w:r>
      <w:r>
        <w:rPr>
          <w:rFonts w:hint="eastAsia" w:ascii="仿宋_GB2312" w:hAnsi="仿宋" w:eastAsia="仿宋_GB2312" w:cs="KFWCQV+ËÎÌå"/>
          <w:sz w:val="30"/>
          <w:szCs w:val="30"/>
          <w:highlight w:val="none"/>
        </w:rPr>
        <w:t>年3月末，本行</w:t>
      </w:r>
      <w:r>
        <w:rPr>
          <w:rFonts w:hint="eastAsia" w:ascii="仿宋_GB2312" w:hAnsi="仿宋" w:eastAsia="仿宋_GB2312" w:cs="KFWCQV+ËÎÌå"/>
          <w:sz w:val="30"/>
          <w:szCs w:val="30"/>
          <w:highlight w:val="none"/>
          <w:lang w:eastAsia="zh-CN"/>
        </w:rPr>
        <w:t>关联法人定期存款与结构性存款余额合计6993.04万元，关联自然人定期存款与结构性存款余额合计</w:t>
      </w:r>
      <w:r>
        <w:rPr>
          <w:rFonts w:hint="eastAsia" w:ascii="仿宋_GB2312" w:hAnsi="仿宋" w:eastAsia="仿宋_GB2312" w:cs="KFWCQV+ËÎÌå"/>
          <w:sz w:val="30"/>
          <w:szCs w:val="30"/>
          <w:highlight w:val="none"/>
          <w:lang w:val="en-US" w:eastAsia="zh-CN"/>
        </w:rPr>
        <w:t>9791.46万元，</w:t>
      </w:r>
      <w:r>
        <w:rPr>
          <w:rFonts w:hint="eastAsia" w:ascii="仿宋_GB2312" w:hAnsi="仿宋" w:eastAsia="仿宋_GB2312" w:cs="KFWCQV+ËÎÌå"/>
          <w:sz w:val="30"/>
          <w:szCs w:val="30"/>
          <w:highlight w:val="none"/>
          <w:lang w:eastAsia="zh-CN"/>
        </w:rPr>
        <w:t>未超年度股东大会预计额度</w:t>
      </w:r>
      <w:r>
        <w:rPr>
          <w:rFonts w:hint="eastAsia" w:ascii="仿宋_GB2312" w:hAnsi="仿宋" w:eastAsia="仿宋_GB2312" w:cs="KFWCQV+ËÎÌå"/>
          <w:sz w:val="30"/>
          <w:szCs w:val="30"/>
          <w:highlight w:val="none"/>
          <w:lang w:val="en-US" w:eastAsia="zh-CN"/>
        </w:rPr>
        <w:t>。</w:t>
      </w:r>
    </w:p>
    <w:p>
      <w:pPr>
        <w:ind w:firstLine="440" w:firstLineChars="200"/>
        <w:rPr>
          <w:rFonts w:cs="KFWCQV+ËÎÌå" w:asciiTheme="minorEastAsia" w:hAnsiTheme="minorEastAsia" w:eastAsiaTheme="minorEastAsia"/>
          <w:i/>
          <w:iCs/>
          <w:sz w:val="22"/>
          <w:highlight w:val="none"/>
        </w:rPr>
      </w:pPr>
    </w:p>
    <w:p>
      <w:pPr>
        <w:ind w:firstLine="562" w:firstLineChars="200"/>
        <w:rPr>
          <w:rFonts w:eastAsia="仿宋" w:cs="KFWCQV+ËÎÌå" w:asciiTheme="minorEastAsia" w:hAnsiTheme="minorEastAsia"/>
          <w:i/>
          <w:iCs/>
          <w:sz w:val="22"/>
          <w:highlight w:val="none"/>
        </w:rPr>
      </w:pPr>
      <w:r>
        <w:rPr>
          <w:rFonts w:hint="eastAsia" w:ascii="仿宋" w:hAnsi="仿宋" w:eastAsia="仿宋" w:cs="KFWCQV+ËÎÌå"/>
          <w:b/>
          <w:bCs/>
          <w:sz w:val="28"/>
          <w:szCs w:val="28"/>
          <w:highlight w:val="none"/>
        </w:rPr>
        <w:t>2、授信类关联交易</w:t>
      </w:r>
    </w:p>
    <w:p>
      <w:pPr>
        <w:jc w:val="right"/>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 xml:space="preserve">：万元 </w:t>
      </w:r>
    </w:p>
    <w:p>
      <w:pPr>
        <w:jc w:val="right"/>
        <w:rPr>
          <w:rFonts w:hint="eastAsia" w:cs="KFWCQV+ËÎÌå" w:asciiTheme="minorEastAsia" w:hAnsiTheme="minorEastAsia" w:eastAsiaTheme="minorEastAsia"/>
          <w:sz w:val="22"/>
          <w:highlight w:val="none"/>
        </w:rPr>
      </w:pPr>
    </w:p>
    <w:tbl>
      <w:tblPr>
        <w:tblStyle w:val="8"/>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7"/>
        <w:gridCol w:w="1141"/>
        <w:gridCol w:w="1141"/>
        <w:gridCol w:w="1018"/>
        <w:gridCol w:w="1017"/>
        <w:gridCol w:w="895"/>
        <w:gridCol w:w="77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关联方类型</w:t>
            </w:r>
          </w:p>
        </w:tc>
        <w:tc>
          <w:tcPr>
            <w:tcW w:w="1141" w:type="dxa"/>
            <w:shd w:val="clear" w:color="auto" w:fill="D9D9D9"/>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3月末用信余额合计</w:t>
            </w:r>
          </w:p>
        </w:tc>
        <w:tc>
          <w:tcPr>
            <w:tcW w:w="11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其中：贷款</w:t>
            </w:r>
          </w:p>
        </w:tc>
        <w:tc>
          <w:tcPr>
            <w:tcW w:w="10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贴现</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银票敞口</w:t>
            </w:r>
          </w:p>
        </w:tc>
        <w:tc>
          <w:tcPr>
            <w:tcW w:w="8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信用证敞口</w:t>
            </w:r>
          </w:p>
        </w:tc>
        <w:tc>
          <w:tcPr>
            <w:tcW w:w="7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商票保贴</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债券投资本金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持股5％以上股东</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亨通集团有限公司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江苏新恒通投资集团有限公司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联营企业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江苏射阳农村商业银行股份有限公司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江苏东台农村商业银行股份有限公司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江苏靖江润丰村镇银行股份有限公司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湖北嘉鱼吴江村镇银行股份有限公司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其他关联企业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105539.18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86078.00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1972.95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14888.22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600.00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苏州翔楼新材料股份有限公司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500.00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2500.00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吴江市双盈化纺实业有限公司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1400.00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1400.00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苏州市奕双新材料有限公司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2100.00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2100.00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江苏万鼎智能制造有限公司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苏商融资租赁有限公司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吴江佳力高纤有限公司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2350.00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350.00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江苏恒宇纺织集团有限公司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16178.84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15398.00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537.95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242.88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江苏张家港农村商业银行股份有限公司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亨通文旅发展有限公司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600.00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600.00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江苏亨芯石英科技有限公司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广德亨通铜业有限公司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1435.00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1435.00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吴江市恒通电缆有限公司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吴江飞乐恒通光纤光缆有限公司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吴江恒宇纺织染整有限公司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3277.34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400.00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2877.34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吴江恒宇纺织有限公司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4298.00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3180.00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518.00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600.00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highlight w:val="none"/>
                <w:u w:val="none"/>
                <w:lang w:val="en-US" w:eastAsia="zh-CN" w:bidi="ar"/>
              </w:rPr>
              <w:t>苏州苏投贵金属文化发展有限公司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4900.00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4900.00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苏州东吴黄金进出口有限公司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8000.00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8000.00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关联企业用信总计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134514.18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106278.00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1972.95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23663.22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600.00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highlight w:val="none"/>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关联自然人用信总计（含贷记卡）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612.63 </w:t>
            </w:r>
          </w:p>
        </w:tc>
        <w:tc>
          <w:tcPr>
            <w:tcW w:w="1141"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highlight w:val="none"/>
                <w:u w:val="none"/>
                <w:lang w:val="en-US" w:eastAsia="zh-CN" w:bidi="ar"/>
              </w:rPr>
              <w:t>全部关联方用信合计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highlight w:val="none"/>
                <w:u w:val="none"/>
                <w:lang w:val="en-US" w:eastAsia="zh-CN" w:bidi="ar"/>
              </w:rPr>
              <w:t xml:space="preserve">135126.81 </w:t>
            </w:r>
          </w:p>
        </w:tc>
        <w:tc>
          <w:tcPr>
            <w:tcW w:w="1141"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r>
    </w:tbl>
    <w:p>
      <w:pPr>
        <w:wordWrap w:val="0"/>
        <w:jc w:val="right"/>
        <w:rPr>
          <w:rFonts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 xml:space="preserve">    </w:t>
      </w:r>
    </w:p>
    <w:p>
      <w:pPr>
        <w:numPr>
          <w:ilvl w:val="0"/>
          <w:numId w:val="1"/>
        </w:numPr>
        <w:ind w:firstLine="440" w:firstLineChars="200"/>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用信为本行实质承担的信用风险</w:t>
      </w:r>
      <w:r>
        <w:rPr>
          <w:rFonts w:hint="eastAsia" w:cs="KFWCQV+ËÎÌå" w:asciiTheme="minorEastAsia" w:hAnsiTheme="minorEastAsia" w:eastAsiaTheme="minorEastAsia"/>
          <w:sz w:val="22"/>
          <w:highlight w:val="none"/>
        </w:rPr>
        <w:t>，具体包括：贷款、贴现、承兑汇票敞口、信用证敞口、保函敞口、</w:t>
      </w:r>
      <w:r>
        <w:rPr>
          <w:rFonts w:hint="eastAsia" w:cs="KFWCQV+ËÎÌå" w:asciiTheme="minorEastAsia" w:hAnsiTheme="minorEastAsia" w:eastAsiaTheme="minorEastAsia"/>
          <w:sz w:val="22"/>
          <w:highlight w:val="none"/>
          <w:lang w:eastAsia="zh-CN"/>
        </w:rPr>
        <w:t>商票保贴、</w:t>
      </w:r>
      <w:r>
        <w:rPr>
          <w:rFonts w:hint="eastAsia" w:cs="KFWCQV+ËÎÌå" w:asciiTheme="minorEastAsia" w:hAnsiTheme="minorEastAsia" w:eastAsiaTheme="minorEastAsia"/>
          <w:sz w:val="22"/>
          <w:highlight w:val="none"/>
        </w:rPr>
        <w:t>债券、债权融资计划</w:t>
      </w:r>
      <w:r>
        <w:rPr>
          <w:rFonts w:hint="eastAsia" w:cs="KFWCQV+ËÎÌå" w:asciiTheme="minorEastAsia" w:hAnsiTheme="minorEastAsia" w:eastAsiaTheme="minorEastAsia"/>
          <w:sz w:val="22"/>
          <w:highlight w:val="none"/>
          <w:lang w:eastAsia="zh-CN"/>
        </w:rPr>
        <w:t>、本行结构性存款质押业务</w:t>
      </w:r>
      <w:r>
        <w:rPr>
          <w:rFonts w:hint="eastAsia" w:cs="KFWCQV+ËÎÌå" w:asciiTheme="minorEastAsia" w:hAnsiTheme="minorEastAsia" w:eastAsiaTheme="minorEastAsia"/>
          <w:sz w:val="22"/>
          <w:highlight w:val="none"/>
        </w:rPr>
        <w:t>等。</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截至2025年3月末，本行单个关联方用信余额最高为苏商融资租赁有限公司35000万元，占上季末资本净额的1.75%。本公司对单个关联方所在集团（亨通集团）用信余额最高为81010万元，占上季末资本净额的4.04</w:t>
      </w:r>
      <w:r>
        <w:rPr>
          <w:rFonts w:hint="eastAsia" w:ascii="仿宋_GB2312" w:hAnsi="仿宋" w:eastAsia="仿宋_GB2312" w:cs="KFWCQV+ËÎÌå"/>
          <w:sz w:val="30"/>
          <w:szCs w:val="30"/>
          <w:highlight w:val="none"/>
          <w:lang w:val="en-US" w:eastAsia="zh-CN"/>
        </w:rPr>
        <w:t>%</w:t>
      </w:r>
      <w:r>
        <w:rPr>
          <w:rFonts w:hint="eastAsia" w:ascii="仿宋_GB2312" w:hAnsi="仿宋" w:eastAsia="仿宋_GB2312" w:cs="KFWCQV+ËÎÌå"/>
          <w:sz w:val="30"/>
          <w:szCs w:val="30"/>
          <w:highlight w:val="none"/>
        </w:rPr>
        <w:t>；本公司对所有关联方用信余额为135126.81万元，占上季末资本净额的6.74%。额度均在监管要求范围内。</w:t>
      </w:r>
    </w:p>
    <w:p>
      <w:pPr>
        <w:ind w:firstLine="602" w:firstLineChars="200"/>
        <w:rPr>
          <w:rFonts w:hint="eastAsia" w:ascii="仿宋_GB2312" w:hAnsi="仿宋" w:eastAsia="仿宋_GB2312" w:cs="KFWCQV+ËÎÌå"/>
          <w:b/>
          <w:bCs/>
          <w:sz w:val="30"/>
          <w:szCs w:val="30"/>
          <w:highlight w:val="none"/>
        </w:rPr>
      </w:pPr>
      <w:r>
        <w:rPr>
          <w:rFonts w:hint="eastAsia" w:ascii="仿宋_GB2312" w:hAnsi="仿宋" w:eastAsia="仿宋_GB2312" w:cs="KFWCQV+ËÎÌå"/>
          <w:b/>
          <w:bCs/>
          <w:sz w:val="30"/>
          <w:szCs w:val="30"/>
          <w:highlight w:val="none"/>
        </w:rPr>
        <w:t>3、资产转移类关联交易</w:t>
      </w:r>
    </w:p>
    <w:p>
      <w:pPr>
        <w:ind w:firstLine="420" w:firstLineChars="14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报告期内未发生资产转移类关联交易。</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4、服务类关联交易</w:t>
      </w:r>
    </w:p>
    <w:p>
      <w:pPr>
        <w:ind w:firstLine="600" w:firstLineChars="200"/>
        <w:rPr>
          <w:rFonts w:hint="eastAsia" w:ascii="仿宋_GB2312" w:hAnsi="仿宋" w:eastAsia="仿宋_GB2312" w:cs="KFWCQV+ËÎÌå"/>
          <w:sz w:val="30"/>
          <w:szCs w:val="30"/>
          <w:highlight w:val="none"/>
          <w:lang w:eastAsia="zh-CN"/>
        </w:rPr>
      </w:pPr>
      <w:r>
        <w:rPr>
          <w:rFonts w:hint="eastAsia" w:ascii="仿宋_GB2312" w:hAnsi="仿宋" w:eastAsia="仿宋_GB2312" w:cs="KFWCQV+ËÎÌå"/>
          <w:sz w:val="30"/>
          <w:szCs w:val="30"/>
          <w:highlight w:val="none"/>
        </w:rPr>
        <w:t>本行与苏州苏投贵金属文化发展有限公司签订代理销售协议，202</w:t>
      </w:r>
      <w:r>
        <w:rPr>
          <w:rFonts w:hint="eastAsia" w:ascii="仿宋_GB2312" w:hAnsi="仿宋" w:eastAsia="仿宋_GB2312" w:cs="KFWCQV+ËÎÌå"/>
          <w:sz w:val="30"/>
          <w:szCs w:val="30"/>
          <w:highlight w:val="none"/>
          <w:lang w:val="en-US" w:eastAsia="zh-CN"/>
        </w:rPr>
        <w:t>5</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一</w:t>
      </w:r>
      <w:r>
        <w:rPr>
          <w:rFonts w:hint="eastAsia" w:ascii="仿宋_GB2312" w:hAnsi="仿宋" w:eastAsia="仿宋_GB2312" w:cs="KFWCQV+ËÎÌå"/>
          <w:sz w:val="30"/>
          <w:szCs w:val="30"/>
          <w:highlight w:val="none"/>
        </w:rPr>
        <w:t>季度本行累计收取手续费</w:t>
      </w:r>
      <w:r>
        <w:rPr>
          <w:rFonts w:hint="eastAsia" w:ascii="仿宋_GB2312" w:hAnsi="仿宋" w:eastAsia="仿宋_GB2312" w:cs="KFWCQV+ËÎÌå"/>
          <w:sz w:val="30"/>
          <w:szCs w:val="30"/>
          <w:highlight w:val="none"/>
          <w:lang w:val="en-US" w:eastAsia="zh-CN"/>
        </w:rPr>
        <w:t>0.4</w:t>
      </w:r>
      <w:r>
        <w:rPr>
          <w:rFonts w:hint="eastAsia" w:ascii="仿宋_GB2312" w:hAnsi="仿宋" w:eastAsia="仿宋_GB2312" w:cs="KFWCQV+ËÎÌå"/>
          <w:sz w:val="30"/>
          <w:szCs w:val="30"/>
          <w:highlight w:val="none"/>
        </w:rPr>
        <w:t>万元</w:t>
      </w:r>
      <w:r>
        <w:rPr>
          <w:rFonts w:hint="eastAsia" w:ascii="仿宋_GB2312" w:hAnsi="仿宋" w:eastAsia="仿宋_GB2312" w:cs="KFWCQV+ËÎÌå"/>
          <w:sz w:val="30"/>
          <w:szCs w:val="30"/>
          <w:highlight w:val="none"/>
          <w:lang w:eastAsia="zh-CN"/>
        </w:rPr>
        <w:t>。</w:t>
      </w:r>
    </w:p>
    <w:p>
      <w:pPr>
        <w:numPr>
          <w:ilvl w:val="-1"/>
          <w:numId w:val="0"/>
        </w:numPr>
        <w:ind w:firstLine="562" w:firstLineChars="200"/>
        <w:rPr>
          <w:rFonts w:hint="eastAsia" w:ascii="仿宋" w:hAnsi="仿宋" w:eastAsia="仿宋" w:cs="KFWCQV+ËÎÌå"/>
          <w:b/>
          <w:bCs/>
          <w:sz w:val="28"/>
          <w:szCs w:val="28"/>
          <w:highlight w:val="none"/>
        </w:rPr>
      </w:pPr>
      <w:r>
        <w:rPr>
          <w:rFonts w:hint="eastAsia" w:ascii="仿宋" w:hAnsi="仿宋" w:eastAsia="仿宋" w:cs="KFWCQV+ËÎÌå"/>
          <w:b/>
          <w:bCs/>
          <w:sz w:val="28"/>
          <w:szCs w:val="28"/>
          <w:highlight w:val="none"/>
          <w:lang w:val="en-US" w:eastAsia="zh-CN"/>
        </w:rPr>
        <w:t>5.</w:t>
      </w:r>
      <w:r>
        <w:rPr>
          <w:rFonts w:hint="eastAsia" w:ascii="仿宋" w:hAnsi="仿宋" w:eastAsia="仿宋" w:cs="KFWCQV+ËÎÌå"/>
          <w:b/>
          <w:bCs/>
          <w:sz w:val="28"/>
          <w:szCs w:val="28"/>
          <w:highlight w:val="none"/>
        </w:rPr>
        <w:t>其他类关联交易</w:t>
      </w:r>
    </w:p>
    <w:p>
      <w:pPr>
        <w:numPr>
          <w:ilvl w:val="-1"/>
          <w:numId w:val="0"/>
        </w:numPr>
        <w:ind w:firstLine="560" w:firstLineChars="200"/>
        <w:rPr>
          <w:rFonts w:hint="eastAsia" w:ascii="仿宋" w:hAnsi="仿宋" w:eastAsia="仿宋" w:cs="KFWCQV+ËÎÌå"/>
          <w:b w:val="0"/>
          <w:bCs w:val="0"/>
          <w:sz w:val="28"/>
          <w:szCs w:val="28"/>
          <w:highlight w:val="none"/>
          <w:lang w:val="en-US" w:eastAsia="zh-CN"/>
        </w:rPr>
      </w:pPr>
      <w:r>
        <w:rPr>
          <w:rFonts w:hint="eastAsia" w:ascii="仿宋" w:hAnsi="仿宋" w:eastAsia="仿宋" w:cs="KFWCQV+ËÎÌå"/>
          <w:b w:val="0"/>
          <w:bCs w:val="0"/>
          <w:sz w:val="28"/>
          <w:szCs w:val="28"/>
          <w:highlight w:val="none"/>
          <w:lang w:val="en-US" w:eastAsia="zh-CN"/>
        </w:rPr>
        <w:t>无。</w:t>
      </w:r>
    </w:p>
    <w:p>
      <w:pPr>
        <w:jc w:val="right"/>
        <w:rPr>
          <w:rFonts w:hint="default" w:ascii="仿宋_GB2312" w:hAnsi="仿宋" w:eastAsia="仿宋_GB2312" w:cs="JNNOKE+ËÎÌå"/>
          <w:sz w:val="30"/>
          <w:szCs w:val="30"/>
          <w:highlight w:val="none"/>
          <w:lang w:val="en-US" w:eastAsia="zh-CN"/>
        </w:rPr>
      </w:pPr>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KFWCQV+ËÎÌå">
    <w:altName w:val="微软雅黑"/>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JNNOKE+ËÎÌå">
    <w:altName w:val="微软雅黑"/>
    <w:panose1 w:val="00000000000000000000"/>
    <w:charset w:val="01"/>
    <w:family w:val="auto"/>
    <w:pitch w:val="default"/>
    <w:sig w:usb0="00000000" w:usb1="00000000" w:usb2="00000000" w:usb3="00000000" w:csb0="00040001" w:csb1="00000000"/>
  </w:font>
  <w:font w:name="CVGVTE+ËÎÌå">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740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本文除债券用信余额使用投资本金统计</w:t>
      </w:r>
      <w:r>
        <w:rPr>
          <w:rFonts w:hint="eastAsia"/>
          <w:lang w:eastAsia="zh-CN"/>
        </w:rPr>
        <w:t>，</w:t>
      </w:r>
      <w:r>
        <w:rPr>
          <w:rFonts w:hint="eastAsia"/>
        </w:rPr>
        <w:t>其余均采用1104口径</w:t>
      </w:r>
      <w:r>
        <w:rPr>
          <w:rFonts w:hint="eastAsia"/>
          <w:lang w:eastAsia="zh-CN"/>
        </w:rPr>
        <w:t>，</w:t>
      </w:r>
      <w:r>
        <w:rPr>
          <w:rFonts w:hint="eastAsia"/>
          <w:lang w:val="en-US" w:eastAsia="zh-CN"/>
        </w:rPr>
        <w:t>其中</w:t>
      </w:r>
      <w:r>
        <w:rPr>
          <w:rFonts w:hint="eastAsia"/>
        </w:rPr>
        <w:t>资本净额使用上季度末数据，。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E32B7"/>
    <w:multiLevelType w:val="singleLevel"/>
    <w:tmpl w:val="E95E3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8A20A3"/>
    <w:rsid w:val="000351C3"/>
    <w:rsid w:val="00040B09"/>
    <w:rsid w:val="000471D5"/>
    <w:rsid w:val="00053DEC"/>
    <w:rsid w:val="00077B33"/>
    <w:rsid w:val="000A0ED3"/>
    <w:rsid w:val="000A1DDA"/>
    <w:rsid w:val="00122DB2"/>
    <w:rsid w:val="0012521A"/>
    <w:rsid w:val="001355FB"/>
    <w:rsid w:val="00140B56"/>
    <w:rsid w:val="00173F67"/>
    <w:rsid w:val="00177397"/>
    <w:rsid w:val="00181D2C"/>
    <w:rsid w:val="001A4800"/>
    <w:rsid w:val="001C2115"/>
    <w:rsid w:val="001E4AC1"/>
    <w:rsid w:val="001F1A43"/>
    <w:rsid w:val="002001FC"/>
    <w:rsid w:val="00206F93"/>
    <w:rsid w:val="002075EF"/>
    <w:rsid w:val="00220ECA"/>
    <w:rsid w:val="00230A9C"/>
    <w:rsid w:val="002452B5"/>
    <w:rsid w:val="002C49BD"/>
    <w:rsid w:val="002E3A72"/>
    <w:rsid w:val="002F3FD1"/>
    <w:rsid w:val="002F5FA9"/>
    <w:rsid w:val="003113B3"/>
    <w:rsid w:val="00313783"/>
    <w:rsid w:val="00315A6B"/>
    <w:rsid w:val="00315CE0"/>
    <w:rsid w:val="003340E2"/>
    <w:rsid w:val="0034289B"/>
    <w:rsid w:val="00345642"/>
    <w:rsid w:val="00370F06"/>
    <w:rsid w:val="00375BAD"/>
    <w:rsid w:val="003875D3"/>
    <w:rsid w:val="003919F1"/>
    <w:rsid w:val="00394378"/>
    <w:rsid w:val="003954A3"/>
    <w:rsid w:val="003A36E0"/>
    <w:rsid w:val="003A705D"/>
    <w:rsid w:val="003B608F"/>
    <w:rsid w:val="003C4186"/>
    <w:rsid w:val="003D6DD8"/>
    <w:rsid w:val="003E39A5"/>
    <w:rsid w:val="003F13A9"/>
    <w:rsid w:val="00425100"/>
    <w:rsid w:val="00453193"/>
    <w:rsid w:val="004653E9"/>
    <w:rsid w:val="004C4E98"/>
    <w:rsid w:val="004D3376"/>
    <w:rsid w:val="004E3772"/>
    <w:rsid w:val="004E4A6E"/>
    <w:rsid w:val="004F41E0"/>
    <w:rsid w:val="005017D9"/>
    <w:rsid w:val="005428F3"/>
    <w:rsid w:val="00553BA2"/>
    <w:rsid w:val="00554B9E"/>
    <w:rsid w:val="005923CD"/>
    <w:rsid w:val="005A0A34"/>
    <w:rsid w:val="005A398E"/>
    <w:rsid w:val="005C3D1E"/>
    <w:rsid w:val="005F3CFF"/>
    <w:rsid w:val="006036FC"/>
    <w:rsid w:val="00613D3F"/>
    <w:rsid w:val="006415E0"/>
    <w:rsid w:val="00641C77"/>
    <w:rsid w:val="00661F66"/>
    <w:rsid w:val="00687B58"/>
    <w:rsid w:val="006C78B5"/>
    <w:rsid w:val="006E5BB5"/>
    <w:rsid w:val="00753A33"/>
    <w:rsid w:val="007552F7"/>
    <w:rsid w:val="00761EF9"/>
    <w:rsid w:val="007B2616"/>
    <w:rsid w:val="007C7FBA"/>
    <w:rsid w:val="007F365C"/>
    <w:rsid w:val="0080545E"/>
    <w:rsid w:val="00806E6A"/>
    <w:rsid w:val="008143C1"/>
    <w:rsid w:val="0083287D"/>
    <w:rsid w:val="008477DA"/>
    <w:rsid w:val="00861D4D"/>
    <w:rsid w:val="00871650"/>
    <w:rsid w:val="0087547A"/>
    <w:rsid w:val="008815E5"/>
    <w:rsid w:val="008A20A3"/>
    <w:rsid w:val="008C0249"/>
    <w:rsid w:val="008E4051"/>
    <w:rsid w:val="008E68DA"/>
    <w:rsid w:val="0090619D"/>
    <w:rsid w:val="00913718"/>
    <w:rsid w:val="00915A94"/>
    <w:rsid w:val="009265C2"/>
    <w:rsid w:val="00940BF3"/>
    <w:rsid w:val="00946749"/>
    <w:rsid w:val="00952B97"/>
    <w:rsid w:val="009645D6"/>
    <w:rsid w:val="00967572"/>
    <w:rsid w:val="009759CA"/>
    <w:rsid w:val="00992FBD"/>
    <w:rsid w:val="0099388E"/>
    <w:rsid w:val="009958DB"/>
    <w:rsid w:val="009E0464"/>
    <w:rsid w:val="009E640A"/>
    <w:rsid w:val="009E65D5"/>
    <w:rsid w:val="009F63BE"/>
    <w:rsid w:val="00A15F95"/>
    <w:rsid w:val="00A30DCD"/>
    <w:rsid w:val="00A31743"/>
    <w:rsid w:val="00A439E8"/>
    <w:rsid w:val="00A9213C"/>
    <w:rsid w:val="00A96878"/>
    <w:rsid w:val="00A96E8D"/>
    <w:rsid w:val="00AA0B2A"/>
    <w:rsid w:val="00AA28C0"/>
    <w:rsid w:val="00AD1C6B"/>
    <w:rsid w:val="00AD6E64"/>
    <w:rsid w:val="00AE1D7A"/>
    <w:rsid w:val="00AE4AA2"/>
    <w:rsid w:val="00B01158"/>
    <w:rsid w:val="00B41AB9"/>
    <w:rsid w:val="00B45D3E"/>
    <w:rsid w:val="00B51DCE"/>
    <w:rsid w:val="00B73AD1"/>
    <w:rsid w:val="00B90006"/>
    <w:rsid w:val="00BA503D"/>
    <w:rsid w:val="00BB46E8"/>
    <w:rsid w:val="00BC3D97"/>
    <w:rsid w:val="00BE1075"/>
    <w:rsid w:val="00BF76F6"/>
    <w:rsid w:val="00C245E3"/>
    <w:rsid w:val="00C51136"/>
    <w:rsid w:val="00C656FD"/>
    <w:rsid w:val="00C66761"/>
    <w:rsid w:val="00C7602B"/>
    <w:rsid w:val="00C955C1"/>
    <w:rsid w:val="00CA15FA"/>
    <w:rsid w:val="00CC77FE"/>
    <w:rsid w:val="00D41A67"/>
    <w:rsid w:val="00D41D9D"/>
    <w:rsid w:val="00D5524D"/>
    <w:rsid w:val="00D80BB5"/>
    <w:rsid w:val="00D815FF"/>
    <w:rsid w:val="00DA0B85"/>
    <w:rsid w:val="00DA1624"/>
    <w:rsid w:val="00DA1A50"/>
    <w:rsid w:val="00DA2E7A"/>
    <w:rsid w:val="00DA49B9"/>
    <w:rsid w:val="00DA5FF7"/>
    <w:rsid w:val="00DA73AC"/>
    <w:rsid w:val="00DC1103"/>
    <w:rsid w:val="00DC2161"/>
    <w:rsid w:val="00DC2680"/>
    <w:rsid w:val="00DC61E6"/>
    <w:rsid w:val="00DE28EB"/>
    <w:rsid w:val="00DE62A9"/>
    <w:rsid w:val="00DE6D0D"/>
    <w:rsid w:val="00E27F3B"/>
    <w:rsid w:val="00E55A94"/>
    <w:rsid w:val="00E76264"/>
    <w:rsid w:val="00EC46B4"/>
    <w:rsid w:val="00EE4A0A"/>
    <w:rsid w:val="00EE65C8"/>
    <w:rsid w:val="00EF482C"/>
    <w:rsid w:val="00EF7A9B"/>
    <w:rsid w:val="00EF7C64"/>
    <w:rsid w:val="00F062A6"/>
    <w:rsid w:val="00F1380D"/>
    <w:rsid w:val="00F2305A"/>
    <w:rsid w:val="00F438C5"/>
    <w:rsid w:val="00F44EB0"/>
    <w:rsid w:val="00FC6636"/>
    <w:rsid w:val="01FE66A8"/>
    <w:rsid w:val="03D273AB"/>
    <w:rsid w:val="04003D1C"/>
    <w:rsid w:val="044C3AD5"/>
    <w:rsid w:val="04DF6D03"/>
    <w:rsid w:val="04E974F4"/>
    <w:rsid w:val="050A7FA8"/>
    <w:rsid w:val="05AC1D34"/>
    <w:rsid w:val="06155C60"/>
    <w:rsid w:val="06DE33EA"/>
    <w:rsid w:val="0732538C"/>
    <w:rsid w:val="0AEA562C"/>
    <w:rsid w:val="0BB26BE8"/>
    <w:rsid w:val="0C8A39D7"/>
    <w:rsid w:val="0E752D74"/>
    <w:rsid w:val="0ED778FB"/>
    <w:rsid w:val="0EEC4E6E"/>
    <w:rsid w:val="0F0E0932"/>
    <w:rsid w:val="10AF53DB"/>
    <w:rsid w:val="10CF2A1C"/>
    <w:rsid w:val="111352B9"/>
    <w:rsid w:val="113F29E0"/>
    <w:rsid w:val="12D12783"/>
    <w:rsid w:val="12E50DD2"/>
    <w:rsid w:val="12F24D34"/>
    <w:rsid w:val="148721E7"/>
    <w:rsid w:val="158052E6"/>
    <w:rsid w:val="168E6AAB"/>
    <w:rsid w:val="16C0447B"/>
    <w:rsid w:val="16C94868"/>
    <w:rsid w:val="17456ADE"/>
    <w:rsid w:val="17C028CE"/>
    <w:rsid w:val="17F01BE4"/>
    <w:rsid w:val="1A4E036B"/>
    <w:rsid w:val="1A9D36C4"/>
    <w:rsid w:val="1CA656F5"/>
    <w:rsid w:val="1EC353A6"/>
    <w:rsid w:val="1FC00B04"/>
    <w:rsid w:val="21A90A7B"/>
    <w:rsid w:val="226B194C"/>
    <w:rsid w:val="2296607A"/>
    <w:rsid w:val="24CF26B3"/>
    <w:rsid w:val="258465D6"/>
    <w:rsid w:val="264649E9"/>
    <w:rsid w:val="27886FCA"/>
    <w:rsid w:val="27BF070B"/>
    <w:rsid w:val="29E86BBF"/>
    <w:rsid w:val="2A365342"/>
    <w:rsid w:val="2B9565EF"/>
    <w:rsid w:val="2B9F152F"/>
    <w:rsid w:val="2BCB4103"/>
    <w:rsid w:val="2BDA6164"/>
    <w:rsid w:val="2CEF2E25"/>
    <w:rsid w:val="2CFE0C85"/>
    <w:rsid w:val="2E3C51C6"/>
    <w:rsid w:val="2F804FB0"/>
    <w:rsid w:val="2FEF6DC9"/>
    <w:rsid w:val="310130E2"/>
    <w:rsid w:val="315B028F"/>
    <w:rsid w:val="316E034A"/>
    <w:rsid w:val="317C7E79"/>
    <w:rsid w:val="31A32E4B"/>
    <w:rsid w:val="32BB3A32"/>
    <w:rsid w:val="351E7C2D"/>
    <w:rsid w:val="35305E63"/>
    <w:rsid w:val="354C0CEB"/>
    <w:rsid w:val="36E151A4"/>
    <w:rsid w:val="3755232E"/>
    <w:rsid w:val="37A67986"/>
    <w:rsid w:val="38841439"/>
    <w:rsid w:val="38F5735F"/>
    <w:rsid w:val="3B554CDA"/>
    <w:rsid w:val="3CB110E4"/>
    <w:rsid w:val="3CC56FBE"/>
    <w:rsid w:val="3E4F44A2"/>
    <w:rsid w:val="3EE86586"/>
    <w:rsid w:val="3EF87F6D"/>
    <w:rsid w:val="3EFF3B53"/>
    <w:rsid w:val="40F55AFB"/>
    <w:rsid w:val="414611C9"/>
    <w:rsid w:val="41EF4B9D"/>
    <w:rsid w:val="428568C3"/>
    <w:rsid w:val="42F6602F"/>
    <w:rsid w:val="439355A8"/>
    <w:rsid w:val="46467DCB"/>
    <w:rsid w:val="4651303A"/>
    <w:rsid w:val="47B32C39"/>
    <w:rsid w:val="483E1421"/>
    <w:rsid w:val="48503FB5"/>
    <w:rsid w:val="497E333F"/>
    <w:rsid w:val="49941726"/>
    <w:rsid w:val="4A28463E"/>
    <w:rsid w:val="4BD45341"/>
    <w:rsid w:val="4BF25F94"/>
    <w:rsid w:val="4D9D0713"/>
    <w:rsid w:val="4E126300"/>
    <w:rsid w:val="4E8950BB"/>
    <w:rsid w:val="4FA57E33"/>
    <w:rsid w:val="4FF41058"/>
    <w:rsid w:val="50714245"/>
    <w:rsid w:val="507C7FCA"/>
    <w:rsid w:val="507D72E7"/>
    <w:rsid w:val="50DA33D2"/>
    <w:rsid w:val="519579C9"/>
    <w:rsid w:val="521071C6"/>
    <w:rsid w:val="53B43100"/>
    <w:rsid w:val="540B1129"/>
    <w:rsid w:val="556A2BA1"/>
    <w:rsid w:val="556F599F"/>
    <w:rsid w:val="557C55B0"/>
    <w:rsid w:val="5654706B"/>
    <w:rsid w:val="56A23756"/>
    <w:rsid w:val="58355FDA"/>
    <w:rsid w:val="59767484"/>
    <w:rsid w:val="59B102BC"/>
    <w:rsid w:val="59D86D8F"/>
    <w:rsid w:val="5A543481"/>
    <w:rsid w:val="5BA7081D"/>
    <w:rsid w:val="5BE5173B"/>
    <w:rsid w:val="5BFD51EC"/>
    <w:rsid w:val="5C4D0B95"/>
    <w:rsid w:val="5C576F00"/>
    <w:rsid w:val="5D2928E7"/>
    <w:rsid w:val="5D66554E"/>
    <w:rsid w:val="5E3D1B2F"/>
    <w:rsid w:val="5E502E67"/>
    <w:rsid w:val="5ED70DED"/>
    <w:rsid w:val="5F4069B0"/>
    <w:rsid w:val="5F9273B0"/>
    <w:rsid w:val="60117157"/>
    <w:rsid w:val="60D54DB2"/>
    <w:rsid w:val="633572A2"/>
    <w:rsid w:val="63695490"/>
    <w:rsid w:val="63BE794F"/>
    <w:rsid w:val="64652723"/>
    <w:rsid w:val="66593EEE"/>
    <w:rsid w:val="67427449"/>
    <w:rsid w:val="69025617"/>
    <w:rsid w:val="693160C0"/>
    <w:rsid w:val="69ED6695"/>
    <w:rsid w:val="6A0069F8"/>
    <w:rsid w:val="6A4237E6"/>
    <w:rsid w:val="6A68501D"/>
    <w:rsid w:val="6B1E543D"/>
    <w:rsid w:val="6BA62514"/>
    <w:rsid w:val="6DA46F0C"/>
    <w:rsid w:val="6E2D70D9"/>
    <w:rsid w:val="6EE80E11"/>
    <w:rsid w:val="6F4439CF"/>
    <w:rsid w:val="6F65711C"/>
    <w:rsid w:val="6FA045DD"/>
    <w:rsid w:val="6FCE5B9A"/>
    <w:rsid w:val="70A8134E"/>
    <w:rsid w:val="727D27A3"/>
    <w:rsid w:val="72A33F36"/>
    <w:rsid w:val="72CE15CD"/>
    <w:rsid w:val="7464553D"/>
    <w:rsid w:val="753C646F"/>
    <w:rsid w:val="762D2C27"/>
    <w:rsid w:val="7771174D"/>
    <w:rsid w:val="792F5705"/>
    <w:rsid w:val="79C82630"/>
    <w:rsid w:val="7A9805BE"/>
    <w:rsid w:val="7B447E06"/>
    <w:rsid w:val="7BD503F6"/>
    <w:rsid w:val="7C147A9E"/>
    <w:rsid w:val="7D0A20D6"/>
    <w:rsid w:val="7D136032"/>
    <w:rsid w:val="7D8C5BA2"/>
    <w:rsid w:val="7EC26004"/>
    <w:rsid w:val="7FC1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Char"/>
    <w:basedOn w:val="10"/>
    <w:link w:val="5"/>
    <w:qFormat/>
    <w:uiPriority w:val="99"/>
    <w:rPr>
      <w:rFonts w:ascii="Calibri" w:hAnsi="Calibri" w:eastAsia="宋体" w:cs="Times New Roman"/>
      <w:sz w:val="18"/>
      <w:szCs w:val="18"/>
    </w:rPr>
  </w:style>
  <w:style w:type="character" w:customStyle="1" w:styleId="15">
    <w:name w:val="页脚 Char"/>
    <w:basedOn w:val="10"/>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9">
    <w:name w:val="批注文字 Char"/>
    <w:basedOn w:val="10"/>
    <w:link w:val="2"/>
    <w:semiHidden/>
    <w:qFormat/>
    <w:uiPriority w:val="99"/>
    <w:rPr>
      <w:rFonts w:ascii="Calibri" w:hAnsi="Calibri"/>
      <w:kern w:val="2"/>
      <w:sz w:val="21"/>
      <w:szCs w:val="22"/>
    </w:rPr>
  </w:style>
  <w:style w:type="character" w:customStyle="1" w:styleId="20">
    <w:name w:val="批注主题 Char"/>
    <w:basedOn w:val="19"/>
    <w:link w:val="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605</Words>
  <Characters>3454</Characters>
  <Lines>28</Lines>
  <Paragraphs>8</Paragraphs>
  <TotalTime>3</TotalTime>
  <ScaleCrop>false</ScaleCrop>
  <LinksUpToDate>false</LinksUpToDate>
  <CharactersWithSpaces>4051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2020-07-03T08:21:00Z</dcterms:created>
  <dc:creator>user</dc:creator>
  <cp:lastModifiedBy>任翀</cp:lastModifiedBy>
  <cp:lastPrinted>2020-01-07T06:38:00Z</cp:lastPrinted>
  <dcterms:modified xsi:type="dcterms:W3CDTF">2025-04-29T07:40:29Z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999056A7048342358453C6206AB3C942_13</vt:lpwstr>
  </property>
</Properties>
</file>