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苏州农商银行</w:t>
      </w: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2025年第一季度第三支柱信息披露报告</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本行为非国内系统重要性银行，根据《商业银行资本管理办法》（以下简称“办法”）附件22《商业银行信息披露内容和要求》的规定，本行按照办法第三章规定的并表范围披露相关信息。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根据办法，公司首次披露相关信息，无需对前期数据追溯披露。本季度公司需披露的报表如下：</w:t>
      </w: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附表一：KM1监管并表关键审慎监管指标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92"/>
        <w:gridCol w:w="2055"/>
        <w:gridCol w:w="21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329" w:type="dxa"/>
            <w:gridSpan w:val="2"/>
            <w:vMerge w:val="restart"/>
            <w:tcBorders>
              <w:top w:val="single" w:color="000000" w:sz="4" w:space="0"/>
              <w:left w:val="single" w:color="000000"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055" w:type="dxa"/>
            <w:tcBorders>
              <w:top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138" w:type="dxa"/>
            <w:tcBorders>
              <w:top w:val="single" w:color="000000" w:sz="4" w:space="0"/>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329" w:type="dxa"/>
            <w:gridSpan w:val="2"/>
            <w:vMerge w:val="continue"/>
            <w:tcBorders>
              <w:left w:val="single" w:color="000000"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055" w:type="dxa"/>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2025年3月31日</w:t>
            </w:r>
          </w:p>
        </w:tc>
        <w:tc>
          <w:tcPr>
            <w:tcW w:w="2138" w:type="dxa"/>
            <w:tcBorders>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2024年12月31日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384" w:type="dxa"/>
            <w:gridSpan w:val="3"/>
            <w:tcBorders>
              <w:left w:val="single" w:color="000000" w:sz="4" w:space="0"/>
            </w:tcBorders>
            <w:shd w:val="clear" w:color="000000" w:fill="D9D9D9"/>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可用资本（</w:t>
            </w:r>
            <w:r>
              <w:rPr>
                <w:rFonts w:hint="eastAsia" w:ascii="仿宋_GB2312" w:hAnsi="仿宋" w:eastAsia="仿宋_GB2312" w:cs="Arial Unicode MS"/>
                <w:b/>
                <w:bCs/>
                <w:color w:val="000000" w:themeColor="text1"/>
                <w:sz w:val="24"/>
                <w:szCs w:val="24"/>
                <w:lang w:eastAsia="zh-CN"/>
                <w14:textFill>
                  <w14:solidFill>
                    <w14:schemeClr w14:val="tx1"/>
                  </w14:solidFill>
                </w14:textFill>
              </w:rPr>
              <w:t>数</w:t>
            </w:r>
            <w:r>
              <w:rPr>
                <w:rFonts w:hint="eastAsia" w:ascii="仿宋_GB2312" w:hAnsi="仿宋" w:eastAsia="仿宋_GB2312" w:cs="Arial Unicode MS"/>
                <w:b/>
                <w:bCs/>
                <w:color w:val="000000" w:themeColor="text1"/>
                <w:sz w:val="24"/>
                <w:szCs w:val="24"/>
                <w14:textFill>
                  <w14:solidFill>
                    <w14:schemeClr w14:val="tx1"/>
                  </w14:solidFill>
                </w14:textFill>
              </w:rPr>
              <w:t>额）</w:t>
            </w:r>
          </w:p>
        </w:tc>
        <w:tc>
          <w:tcPr>
            <w:tcW w:w="2138" w:type="dxa"/>
            <w:tcBorders>
              <w:right w:val="single" w:color="000000" w:sz="4" w:space="0"/>
            </w:tcBorders>
            <w:shd w:val="clear" w:color="000000" w:fill="D9D9D9"/>
          </w:tcPr>
          <w:p>
            <w:pPr>
              <w:snapToGrid w:val="0"/>
              <w:spacing w:line="480" w:lineRule="exact"/>
              <w:rPr>
                <w:rFonts w:hint="eastAsia"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核心一级资本净额</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16972028</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16750284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16972455</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16750693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3</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20342455</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20076198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bottom"/>
          </w:tcPr>
          <w:p>
            <w:pPr>
              <w:jc w:val="right"/>
              <w:rPr>
                <w:rFonts w:hint="default" w:ascii="Arial" w:hAnsi="Arial" w:cs="Arial"/>
                <w:sz w:val="24"/>
                <w:szCs w:val="24"/>
              </w:rPr>
            </w:pPr>
          </w:p>
        </w:tc>
        <w:tc>
          <w:tcPr>
            <w:tcW w:w="2138" w:type="dxa"/>
            <w:tcBorders>
              <w:right w:val="single" w:color="000000" w:sz="4" w:space="0"/>
            </w:tcBorders>
            <w:shd w:val="clear" w:color="000000" w:fill="D9D9D9"/>
            <w:vAlign w:val="bottom"/>
          </w:tcPr>
          <w:p>
            <w:pPr>
              <w:jc w:val="right"/>
              <w:rPr>
                <w:rFonts w:hint="default" w:ascii="Arial" w:hAnsi="Arial" w:cs="Arial"/>
                <w:sz w:val="24"/>
                <w:szCs w:val="24"/>
              </w:rPr>
            </w:pPr>
          </w:p>
        </w:tc>
      </w:tr>
      <w:tr>
        <w:tblPrEx>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4</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风险加权资产</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157631067</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153505147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bottom"/>
          </w:tcPr>
          <w:p>
            <w:pPr>
              <w:jc w:val="right"/>
              <w:rPr>
                <w:rFonts w:hint="default" w:ascii="Arial" w:hAnsi="Arial" w:cs="Arial"/>
                <w:sz w:val="24"/>
                <w:szCs w:val="24"/>
              </w:rPr>
            </w:pPr>
          </w:p>
        </w:tc>
        <w:tc>
          <w:tcPr>
            <w:tcW w:w="2138" w:type="dxa"/>
            <w:tcBorders>
              <w:right w:val="single" w:color="000000" w:sz="4" w:space="0"/>
            </w:tcBorders>
            <w:shd w:val="clear" w:color="000000" w:fill="D9D9D9"/>
            <w:vAlign w:val="bottom"/>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核心一级资本充足率（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10.77</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6</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10.77</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7</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12.91</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13.08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bottom"/>
          </w:tcPr>
          <w:p>
            <w:pPr>
              <w:jc w:val="right"/>
              <w:rPr>
                <w:rFonts w:hint="default" w:ascii="Arial" w:hAnsi="Arial" w:cs="Arial"/>
                <w:sz w:val="24"/>
                <w:szCs w:val="24"/>
              </w:rPr>
            </w:pPr>
          </w:p>
        </w:tc>
        <w:tc>
          <w:tcPr>
            <w:tcW w:w="2138" w:type="dxa"/>
            <w:tcBorders>
              <w:right w:val="single" w:color="000000" w:sz="4" w:space="0"/>
            </w:tcBorders>
            <w:shd w:val="clear" w:color="000000" w:fill="D9D9D9"/>
            <w:vAlign w:val="bottom"/>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8</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储备资本要求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9</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逆周期资本要求（</w:t>
            </w:r>
            <w:r>
              <w:rPr>
                <w:rFonts w:ascii="仿宋_GB2312" w:hAnsi="仿宋" w:eastAsia="仿宋_GB2312" w:cs="Arial Unicode MS"/>
                <w:color w:val="000000" w:themeColor="text1"/>
                <w:sz w:val="24"/>
                <w:szCs w:val="24"/>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37" w:type="dxa"/>
            <w:tcBorders>
              <w:left w:val="single" w:color="000000" w:sz="4" w:space="0"/>
            </w:tcBorders>
            <w:shd w:val="clear" w:color="auto" w:fill="auto"/>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10</w:t>
            </w:r>
          </w:p>
        </w:tc>
        <w:tc>
          <w:tcPr>
            <w:tcW w:w="3692" w:type="dxa"/>
            <w:shd w:val="clear" w:color="auto" w:fill="auto"/>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shd w:val="clear" w:color="auto" w:fill="BEBEBE"/>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2138" w:type="dxa"/>
            <w:tcBorders>
              <w:right w:val="single" w:color="000000" w:sz="4" w:space="0"/>
            </w:tcBorders>
            <w:shd w:val="clear" w:color="auto" w:fill="BEBEBE"/>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11</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其他各级资本要求（</w:t>
            </w:r>
            <w:r>
              <w:rPr>
                <w:rFonts w:ascii="仿宋_GB2312" w:hAnsi="仿宋" w:eastAsia="仿宋_GB2312" w:cs="Arial Unicode MS"/>
                <w:color w:val="000000" w:themeColor="text1"/>
                <w:sz w:val="24"/>
                <w:szCs w:val="24"/>
                <w:lang w:eastAsia="zh-CN"/>
                <w14:textFill>
                  <w14:solidFill>
                    <w14:schemeClr w14:val="tx1"/>
                  </w14:solidFill>
                </w14:textFill>
              </w:rPr>
              <w:t>%）（8+9+10）</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12</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5.77</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5.91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bottom"/>
          </w:tcPr>
          <w:p>
            <w:pPr>
              <w:jc w:val="right"/>
              <w:rPr>
                <w:rFonts w:hint="default" w:ascii="Arial" w:hAnsi="Arial" w:cs="Arial"/>
                <w:sz w:val="24"/>
                <w:szCs w:val="24"/>
              </w:rPr>
            </w:pPr>
          </w:p>
        </w:tc>
        <w:tc>
          <w:tcPr>
            <w:tcW w:w="2138" w:type="dxa"/>
            <w:tcBorders>
              <w:right w:val="single" w:color="000000" w:sz="4" w:space="0"/>
            </w:tcBorders>
            <w:shd w:val="clear" w:color="000000" w:fill="D9D9D9"/>
            <w:vAlign w:val="bottom"/>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13</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调整后表内外资产余额</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255228499</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249875809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14</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6.65</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1</w:t>
            </w:r>
            <w:r>
              <w:rPr>
                <w:rFonts w:ascii="仿宋_GB2312" w:hAnsi="仿宋" w:eastAsia="仿宋_GB2312" w:cs="Arial Unicode MS"/>
                <w:color w:val="000000" w:themeColor="text1"/>
                <w:sz w:val="24"/>
                <w:szCs w:val="24"/>
                <w:lang w:eastAsia="zh-CN"/>
                <w14:textFill>
                  <w14:solidFill>
                    <w14:schemeClr w14:val="tx1"/>
                  </w14:solidFill>
                </w14:textFill>
              </w:rPr>
              <w:t>4</w:t>
            </w:r>
            <w:r>
              <w:rPr>
                <w:rFonts w:hint="eastAsia" w:ascii="仿宋_GB2312" w:hAnsi="仿宋" w:eastAsia="仿宋_GB2312" w:cs="Arial Unicode MS"/>
                <w:color w:val="000000" w:themeColor="text1"/>
                <w:sz w:val="24"/>
                <w:szCs w:val="24"/>
                <w:lang w:eastAsia="zh-CN"/>
                <w14:textFill>
                  <w14:solidFill>
                    <w14:schemeClr w14:val="tx1"/>
                  </w14:solidFill>
                </w14:textFill>
              </w:rPr>
              <w:t>a</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杠杆率a</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6.65</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bottom"/>
          </w:tcPr>
          <w:p>
            <w:pPr>
              <w:jc w:val="right"/>
              <w:rPr>
                <w:rFonts w:hint="default" w:ascii="Arial" w:hAnsi="Arial" w:cs="Arial"/>
                <w:sz w:val="24"/>
                <w:szCs w:val="24"/>
              </w:rPr>
            </w:pPr>
          </w:p>
        </w:tc>
        <w:tc>
          <w:tcPr>
            <w:tcW w:w="2138" w:type="dxa"/>
            <w:tcBorders>
              <w:right w:val="single" w:color="000000" w:sz="4" w:space="0"/>
            </w:tcBorders>
            <w:shd w:val="clear" w:color="000000" w:fill="D9D9D9"/>
            <w:vAlign w:val="bottom"/>
          </w:tcPr>
          <w:p>
            <w:pPr>
              <w:jc w:val="right"/>
              <w:rPr>
                <w:rFonts w:hint="default" w:ascii="Arial" w:hAnsi="Arial" w:cs="Arial"/>
                <w:sz w:val="24"/>
                <w:szCs w:val="24"/>
              </w:rPr>
            </w:pPr>
          </w:p>
        </w:tc>
      </w:tr>
      <w:tr>
        <w:tblPrEx>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15</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合格优质流动性资产</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26201059</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20903783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16</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现金净流出</w:t>
            </w:r>
            <w:r>
              <w:rPr>
                <w:rFonts w:hint="eastAsia" w:ascii="仿宋_GB2312" w:hAnsi="仿宋" w:eastAsia="仿宋_GB2312" w:cs="Arial Unicode MS"/>
                <w:color w:val="000000" w:themeColor="text1"/>
                <w:sz w:val="24"/>
                <w:szCs w:val="24"/>
                <w:lang w:eastAsia="zh-CN"/>
                <w14:textFill>
                  <w14:solidFill>
                    <w14:schemeClr w14:val="tx1"/>
                  </w14:solidFill>
                </w14:textFill>
              </w:rPr>
              <w:t>量</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23401770</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15814510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17</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流动性覆盖率（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111.96</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132.18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bottom"/>
          </w:tcPr>
          <w:p>
            <w:pPr>
              <w:jc w:val="right"/>
              <w:rPr>
                <w:rFonts w:hint="default" w:ascii="Arial" w:hAnsi="Arial" w:cs="Arial"/>
                <w:sz w:val="24"/>
                <w:szCs w:val="24"/>
              </w:rPr>
            </w:pPr>
          </w:p>
        </w:tc>
        <w:tc>
          <w:tcPr>
            <w:tcW w:w="2138" w:type="dxa"/>
            <w:tcBorders>
              <w:right w:val="single" w:color="000000" w:sz="4" w:space="0"/>
            </w:tcBorders>
            <w:shd w:val="clear" w:color="000000" w:fill="D9D9D9"/>
            <w:vAlign w:val="bottom"/>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18</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可用稳定资金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161884661</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154947945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19</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所需</w:t>
            </w:r>
            <w:r>
              <w:rPr>
                <w:rFonts w:hint="eastAsia" w:ascii="仿宋_GB2312" w:hAnsi="仿宋" w:eastAsia="仿宋_GB2312" w:cs="Arial Unicode MS"/>
                <w:color w:val="000000" w:themeColor="text1"/>
                <w:sz w:val="24"/>
                <w:szCs w:val="24"/>
                <w14:textFill>
                  <w14:solidFill>
                    <w14:schemeClr w14:val="tx1"/>
                  </w14:solidFill>
                </w14:textFill>
              </w:rPr>
              <w:t>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101524266</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95319082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20</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净稳定资金比例（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159.45</w:t>
            </w:r>
          </w:p>
        </w:tc>
        <w:tc>
          <w:tcPr>
            <w:tcW w:w="2138" w:type="dxa"/>
            <w:tcBorders>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162.56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29" w:type="dxa"/>
            <w:gridSpan w:val="2"/>
            <w:tcBorders>
              <w:left w:val="single" w:color="000000" w:sz="4" w:space="0"/>
            </w:tcBorders>
            <w:shd w:val="clear" w:color="auto" w:fill="D8D8D8"/>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auto" w:fill="D8D8D8"/>
            <w:vAlign w:val="bottom"/>
          </w:tcPr>
          <w:p>
            <w:pPr>
              <w:jc w:val="right"/>
              <w:rPr>
                <w:rFonts w:hint="default" w:ascii="Arial" w:hAnsi="Arial" w:cs="Arial"/>
                <w:sz w:val="24"/>
                <w:szCs w:val="24"/>
              </w:rPr>
            </w:pPr>
          </w:p>
        </w:tc>
        <w:tc>
          <w:tcPr>
            <w:tcW w:w="2138" w:type="dxa"/>
            <w:tcBorders>
              <w:right w:val="single" w:color="000000" w:sz="4" w:space="0"/>
            </w:tcBorders>
            <w:shd w:val="clear" w:color="auto" w:fill="D8D8D8"/>
            <w:vAlign w:val="bottom"/>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bottom w:val="single" w:color="000000" w:sz="4" w:space="0"/>
            </w:tcBorders>
            <w:shd w:val="clear" w:color="auto" w:fill="FFFFFF"/>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21</w:t>
            </w:r>
          </w:p>
        </w:tc>
        <w:tc>
          <w:tcPr>
            <w:tcW w:w="3692" w:type="dxa"/>
            <w:tcBorders>
              <w:bottom w:val="single" w:color="000000" w:sz="4" w:space="0"/>
            </w:tcBorders>
            <w:shd w:val="clear" w:color="auto" w:fill="FFFFFF"/>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tcBorders>
              <w:bottom w:val="single" w:color="000000" w:sz="4" w:space="0"/>
            </w:tcBorders>
            <w:shd w:val="clear" w:color="auto" w:fill="FFFFFF"/>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94.84</w:t>
            </w:r>
          </w:p>
        </w:tc>
        <w:tc>
          <w:tcPr>
            <w:tcW w:w="2138" w:type="dxa"/>
            <w:tcBorders>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97.17</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附表二：OV1风险加权资产概况</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7" w:type="dxa"/>
        <w:tblInd w:w="0" w:type="dxa"/>
        <w:tblLayout w:type="fixed"/>
        <w:tblCellMar>
          <w:top w:w="0" w:type="dxa"/>
          <w:left w:w="108" w:type="dxa"/>
          <w:bottom w:w="0" w:type="dxa"/>
          <w:right w:w="108" w:type="dxa"/>
        </w:tblCellMar>
      </w:tblPr>
      <w:tblGrid>
        <w:gridCol w:w="478"/>
        <w:gridCol w:w="1811"/>
        <w:gridCol w:w="2079"/>
        <w:gridCol w:w="2136"/>
        <w:gridCol w:w="2022"/>
        <w:gridCol w:w="1"/>
      </w:tblGrid>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restart"/>
            <w:tcBorders>
              <w:top w:val="single" w:color="000000" w:sz="4" w:space="0"/>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079" w:type="dxa"/>
            <w:tcBorders>
              <w:top w:val="single" w:color="000000"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136" w:type="dxa"/>
            <w:tcBorders>
              <w:top w:val="single" w:color="000000"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c>
          <w:tcPr>
            <w:tcW w:w="2022" w:type="dxa"/>
            <w:tcBorders>
              <w:top w:val="single" w:color="000000"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c</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4215" w:type="dxa"/>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风险加权资产</w:t>
            </w:r>
          </w:p>
        </w:tc>
        <w:tc>
          <w:tcPr>
            <w:tcW w:w="2022"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ind w:left="-295" w:firstLine="295"/>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最低资本要求</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bottom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2025年3月31日</w:t>
            </w:r>
          </w:p>
        </w:tc>
        <w:tc>
          <w:tcPr>
            <w:tcW w:w="2136"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2024年12月31日</w:t>
            </w:r>
          </w:p>
        </w:tc>
        <w:tc>
          <w:tcPr>
            <w:tcW w:w="2022"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2025年3月31日</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信用风险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147701544</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145125960</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11816124</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市场风险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2461745</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911410</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196940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3</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操作风险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7467778</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7467778</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597422</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4</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交易账簿和银行账簿间转换的资本要求</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000000"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1811" w:type="dxa"/>
            <w:tcBorders>
              <w:top w:val="nil"/>
              <w:left w:val="single" w:color="auto" w:sz="4" w:space="0"/>
              <w:bottom w:val="single" w:color="000000" w:sz="4" w:space="0"/>
              <w:right w:val="single" w:color="auto" w:sz="4" w:space="0"/>
            </w:tcBorders>
            <w:vAlign w:val="center"/>
          </w:tcPr>
          <w:p>
            <w:pPr>
              <w:snapToGrid w:val="0"/>
              <w:spacing w:line="480" w:lineRule="exact"/>
              <w:rPr>
                <w:rFonts w:ascii="仿宋_GB2312" w:hAnsi="仿宋" w:eastAsia="仿宋_GB2312" w:cs="Arial Unicode MS"/>
                <w:b/>
                <w:bCs/>
                <w:color w:val="000000" w:themeColor="text1"/>
                <w:sz w:val="24"/>
                <w:szCs w:val="24"/>
                <w:lang w:eastAsia="zh-CN"/>
                <w14:textFill>
                  <w14:solidFill>
                    <w14:schemeClr w14:val="tx1"/>
                  </w14:solidFill>
                </w14:textFill>
              </w:rPr>
            </w:pPr>
            <w:r>
              <w:rPr>
                <w:rFonts w:hint="eastAsia" w:ascii="仿宋_GB2312" w:hAnsi="仿宋" w:eastAsia="仿宋_GB2312" w:cs="Arial Unicode MS"/>
                <w:b/>
                <w:bCs/>
                <w:color w:val="000000" w:themeColor="text1"/>
                <w:sz w:val="24"/>
                <w:szCs w:val="24"/>
                <w:lang w:eastAsia="zh-CN"/>
                <w14:textFill>
                  <w14:solidFill>
                    <w14:schemeClr w14:val="tx1"/>
                  </w14:solidFill>
                </w14:textFill>
              </w:rPr>
              <w:t>合计</w:t>
            </w:r>
          </w:p>
        </w:tc>
        <w:tc>
          <w:tcPr>
            <w:tcW w:w="2079" w:type="dxa"/>
            <w:tcBorders>
              <w:top w:val="nil"/>
              <w:left w:val="nil"/>
              <w:bottom w:val="single" w:color="000000"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157631067</w:t>
            </w:r>
          </w:p>
        </w:tc>
        <w:tc>
          <w:tcPr>
            <w:tcW w:w="2136" w:type="dxa"/>
            <w:tcBorders>
              <w:top w:val="single" w:color="auto" w:sz="4" w:space="0"/>
              <w:left w:val="single" w:color="auto" w:sz="4" w:space="0"/>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153505147</w:t>
            </w:r>
          </w:p>
        </w:tc>
        <w:tc>
          <w:tcPr>
            <w:tcW w:w="2023"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12610485</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附表三：LR1杠杆率监管项目与相关会计项目的差异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59"/>
        <w:gridCol w:w="5985"/>
        <w:gridCol w:w="193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44" w:type="dxa"/>
            <w:gridSpan w:val="2"/>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b/>
                <w:bCs/>
                <w:color w:val="000000" w:themeColor="text1"/>
                <w:sz w:val="24"/>
                <w:szCs w:val="24"/>
                <w:lang w:eastAsia="zh-CN"/>
                <w14:textFill>
                  <w14:solidFill>
                    <w14:schemeClr w14:val="tx1"/>
                  </w14:solidFill>
                </w14:textFill>
              </w:rPr>
            </w:pPr>
          </w:p>
        </w:tc>
        <w:tc>
          <w:tcPr>
            <w:tcW w:w="1932" w:type="dxa"/>
            <w:tcBorders>
              <w:top w:val="single" w:color="000000" w:sz="4" w:space="0"/>
              <w:left w:val="nil"/>
              <w:bottom w:val="single" w:color="auto" w:sz="4" w:space="0"/>
              <w:right w:val="single" w:color="000000" w:sz="4" w:space="0"/>
            </w:tcBorders>
            <w:vAlign w:val="bottom"/>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sz w:val="24"/>
                <w:szCs w:val="24"/>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并表总资产</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221889802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-484963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客户资产调整项</w:t>
            </w:r>
          </w:p>
        </w:tc>
        <w:tc>
          <w:tcPr>
            <w:tcW w:w="1932" w:type="dxa"/>
            <w:tcBorders>
              <w:top w:val="nil"/>
              <w:left w:val="nil"/>
              <w:bottom w:val="single" w:color="auto" w:sz="4" w:space="0"/>
              <w:right w:val="single" w:color="000000" w:sz="4" w:space="0"/>
            </w:tcBorders>
            <w:vAlign w:val="bottom"/>
          </w:tcPr>
          <w:p>
            <w:pPr>
              <w:jc w:val="right"/>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衍生工具调整项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304864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证券融资交易调整项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190559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5985" w:type="dxa"/>
            <w:tcBorders>
              <w:top w:val="nil"/>
              <w:left w:val="nil"/>
              <w:bottom w:val="single" w:color="auto" w:sz="4" w:space="0"/>
              <w:right w:val="single" w:color="auto" w:sz="4" w:space="0"/>
            </w:tcBorders>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表外项目调整项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34371837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资产证券化交易调整项</w:t>
            </w:r>
          </w:p>
        </w:tc>
        <w:tc>
          <w:tcPr>
            <w:tcW w:w="1932" w:type="dxa"/>
            <w:tcBorders>
              <w:top w:val="nil"/>
              <w:left w:val="nil"/>
              <w:bottom w:val="single" w:color="auto" w:sz="4" w:space="0"/>
              <w:right w:val="single" w:color="000000" w:sz="4" w:space="0"/>
            </w:tcBorders>
            <w:vAlign w:val="bottom"/>
          </w:tcPr>
          <w:p>
            <w:pPr>
              <w:jc w:val="right"/>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未结算金融资产调整项</w:t>
            </w:r>
          </w:p>
        </w:tc>
        <w:tc>
          <w:tcPr>
            <w:tcW w:w="1932" w:type="dxa"/>
            <w:tcBorders>
              <w:top w:val="nil"/>
              <w:left w:val="nil"/>
              <w:bottom w:val="single" w:color="auto" w:sz="4" w:space="0"/>
              <w:right w:val="single" w:color="000000" w:sz="4" w:space="0"/>
            </w:tcBorders>
            <w:vAlign w:val="bottom"/>
          </w:tcPr>
          <w:p>
            <w:pPr>
              <w:jc w:val="right"/>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4"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现金池调整项</w:t>
            </w:r>
          </w:p>
        </w:tc>
        <w:tc>
          <w:tcPr>
            <w:tcW w:w="1932" w:type="dxa"/>
            <w:tcBorders>
              <w:top w:val="nil"/>
              <w:left w:val="nil"/>
              <w:bottom w:val="single" w:color="auto" w:sz="4" w:space="0"/>
              <w:right w:val="single" w:color="000000" w:sz="4" w:space="0"/>
            </w:tcBorders>
            <w:vAlign w:val="bottom"/>
          </w:tcPr>
          <w:p>
            <w:pPr>
              <w:jc w:val="right"/>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存款准备金调整项（如有）</w:t>
            </w:r>
          </w:p>
        </w:tc>
        <w:tc>
          <w:tcPr>
            <w:tcW w:w="1932" w:type="dxa"/>
            <w:tcBorders>
              <w:top w:val="nil"/>
              <w:left w:val="nil"/>
              <w:bottom w:val="single" w:color="auto" w:sz="4" w:space="0"/>
              <w:right w:val="single" w:color="000000" w:sz="4" w:space="0"/>
            </w:tcBorders>
            <w:vAlign w:val="bottom"/>
          </w:tcPr>
          <w:p>
            <w:pPr>
              <w:jc w:val="right"/>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Segoe UI"/>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审慎估值和减值准备调整项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-1043600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12</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其他调整项</w:t>
            </w:r>
          </w:p>
        </w:tc>
        <w:tc>
          <w:tcPr>
            <w:tcW w:w="1932" w:type="dxa"/>
            <w:tcBorders>
              <w:top w:val="nil"/>
              <w:left w:val="nil"/>
              <w:bottom w:val="single" w:color="auto" w:sz="4" w:space="0"/>
              <w:right w:val="single" w:color="000000" w:sz="4" w:space="0"/>
            </w:tcBorders>
            <w:vAlign w:val="bottom"/>
          </w:tcPr>
          <w:p>
            <w:pPr>
              <w:jc w:val="right"/>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b/>
                <w:bCs/>
                <w:color w:val="000000" w:themeColor="text1"/>
                <w:sz w:val="24"/>
                <w:szCs w:val="24"/>
                <w14:textFill>
                  <w14:solidFill>
                    <w14:schemeClr w14:val="tx1"/>
                  </w14:solidFill>
                </w14:textFill>
              </w:rPr>
            </w:pPr>
            <w:r>
              <w:rPr>
                <w:rFonts w:ascii="仿宋_GB2312" w:hAnsi="宋体" w:eastAsia="仿宋_GB2312" w:cs="宋体"/>
                <w:b/>
                <w:bCs/>
                <w:color w:val="000000" w:themeColor="text1"/>
                <w:sz w:val="24"/>
                <w:szCs w:val="24"/>
                <w:lang w:eastAsia="zh-CN"/>
                <w14:textFill>
                  <w14:solidFill>
                    <w14:schemeClr w14:val="tx1"/>
                  </w14:solidFill>
                </w14:textFill>
              </w:rPr>
              <w:t>13</w:t>
            </w:r>
          </w:p>
        </w:tc>
        <w:tc>
          <w:tcPr>
            <w:tcW w:w="5985" w:type="dxa"/>
            <w:tcBorders>
              <w:top w:val="nil"/>
              <w:left w:val="nil"/>
              <w:bottom w:val="single" w:color="000000" w:sz="4" w:space="0"/>
              <w:right w:val="single" w:color="auto" w:sz="4" w:space="0"/>
            </w:tcBorders>
            <w:vAlign w:val="center"/>
          </w:tcPr>
          <w:p>
            <w:pPr>
              <w:snapToGrid w:val="0"/>
              <w:spacing w:line="480" w:lineRule="exact"/>
              <w:rPr>
                <w:rFonts w:ascii="仿宋_GB2312"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lang w:eastAsia="zh-CN"/>
                <w14:textFill>
                  <w14:solidFill>
                    <w14:schemeClr w14:val="tx1"/>
                  </w14:solidFill>
                </w14:textFill>
              </w:rPr>
              <w:t>调整后表内外资产余额</w:t>
            </w:r>
          </w:p>
        </w:tc>
        <w:tc>
          <w:tcPr>
            <w:tcW w:w="1932" w:type="dxa"/>
            <w:tcBorders>
              <w:top w:val="nil"/>
              <w:left w:val="nil"/>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b/>
                <w:bC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255228499</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附表四：LR2杠杆率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19"/>
        <w:gridCol w:w="4786"/>
        <w:gridCol w:w="1508"/>
        <w:gridCol w:w="2"/>
        <w:gridCol w:w="1507"/>
      </w:tblGrid>
      <w:tr>
        <w:tblPrEx>
          <w:tblLayout w:type="fixed"/>
          <w:tblCellMar>
            <w:top w:w="0" w:type="dxa"/>
            <w:left w:w="108" w:type="dxa"/>
            <w:bottom w:w="0" w:type="dxa"/>
            <w:right w:w="108" w:type="dxa"/>
          </w:tblCellMar>
        </w:tblPrEx>
        <w:trPr>
          <w:trHeight w:val="336" w:hRule="atLeast"/>
        </w:trPr>
        <w:tc>
          <w:tcPr>
            <w:tcW w:w="5505" w:type="dxa"/>
            <w:gridSpan w:val="2"/>
            <w:vMerge w:val="restart"/>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　</w:t>
            </w:r>
          </w:p>
        </w:tc>
        <w:tc>
          <w:tcPr>
            <w:tcW w:w="1508" w:type="dxa"/>
            <w:tcBorders>
              <w:top w:val="single" w:color="000000" w:sz="4" w:space="0"/>
              <w:left w:val="nil"/>
              <w:bottom w:val="single" w:color="auto" w:sz="4" w:space="0"/>
              <w:right w:val="single" w:color="auto" w:sz="4" w:space="0"/>
            </w:tcBorders>
            <w:vAlign w:val="bottom"/>
          </w:tcPr>
          <w:p>
            <w:pPr>
              <w:snapToGrid w:val="0"/>
              <w:spacing w:line="480"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a</w:t>
            </w:r>
          </w:p>
        </w:tc>
        <w:tc>
          <w:tcPr>
            <w:tcW w:w="1509" w:type="dxa"/>
            <w:gridSpan w:val="2"/>
            <w:tcBorders>
              <w:top w:val="single" w:color="000000"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b</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continue"/>
            <w:tcBorders>
              <w:top w:val="single" w:color="auto" w:sz="4" w:space="0"/>
              <w:left w:val="single" w:color="000000" w:sz="4" w:space="0"/>
              <w:bottom w:val="single" w:color="auto" w:sz="4" w:space="0"/>
              <w:right w:val="single" w:color="auto" w:sz="4" w:space="0"/>
            </w:tcBorders>
            <w:vAlign w:val="center"/>
          </w:tcPr>
          <w:p>
            <w:pPr>
              <w:spacing w:line="480" w:lineRule="exact"/>
              <w:rPr>
                <w:rFonts w:ascii="仿宋_GB2312" w:eastAsia="仿宋_GB2312" w:cs="宋体"/>
                <w:color w:val="000000" w:themeColor="text1"/>
                <w:sz w:val="24"/>
                <w:szCs w:val="24"/>
                <w:lang w:eastAsia="zh-CN"/>
                <w14:textFill>
                  <w14:solidFill>
                    <w14:schemeClr w14:val="tx1"/>
                  </w14:solidFill>
                </w14:textFill>
              </w:rPr>
            </w:pPr>
          </w:p>
        </w:tc>
        <w:tc>
          <w:tcPr>
            <w:tcW w:w="1508" w:type="dxa"/>
            <w:tcBorders>
              <w:top w:val="nil"/>
              <w:left w:val="nil"/>
              <w:bottom w:val="single" w:color="auto" w:sz="4" w:space="0"/>
              <w:right w:val="single" w:color="auto"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2025年3月31日</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kern w:val="2"/>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2024年12月31日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7015" w:type="dxa"/>
            <w:gridSpan w:val="4"/>
            <w:tcBorders>
              <w:top w:val="single" w:color="auto" w:sz="4" w:space="0"/>
              <w:left w:val="single" w:color="000000" w:sz="4" w:space="0"/>
              <w:bottom w:val="single" w:color="auto" w:sz="4" w:space="0"/>
              <w:right w:val="single" w:color="auto" w:sz="4" w:space="0"/>
            </w:tcBorders>
            <w:shd w:val="clear" w:color="auto" w:fill="A6A6A6"/>
            <w:vAlign w:val="bottom"/>
          </w:tcPr>
          <w:p>
            <w:pPr>
              <w:snapToGrid w:val="0"/>
              <w:spacing w:line="480" w:lineRule="exact"/>
              <w:rPr>
                <w:rFonts w:ascii="仿宋_GB2312"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kern w:val="2"/>
                <w:sz w:val="24"/>
                <w:szCs w:val="24"/>
                <w14:textFill>
                  <w14:solidFill>
                    <w14:schemeClr w14:val="tx1"/>
                  </w14:solidFill>
                </w14:textFill>
              </w:rPr>
              <w:t>表内资产余额</w:t>
            </w:r>
          </w:p>
        </w:tc>
        <w:tc>
          <w:tcPr>
            <w:tcW w:w="1507" w:type="dxa"/>
            <w:tcBorders>
              <w:top w:val="single" w:color="auto" w:sz="4" w:space="0"/>
              <w:left w:val="single" w:color="auto" w:sz="4" w:space="0"/>
              <w:bottom w:val="single" w:color="auto" w:sz="4" w:space="0"/>
              <w:right w:val="single" w:color="000000" w:sz="4" w:space="0"/>
            </w:tcBorders>
            <w:shd w:val="clear" w:color="auto" w:fill="A6A6A6"/>
            <w:vAlign w:val="bottom"/>
          </w:tcPr>
          <w:p>
            <w:pPr>
              <w:snapToGrid w:val="0"/>
              <w:spacing w:line="480" w:lineRule="exact"/>
              <w:rPr>
                <w:rFonts w:hint="eastAsia" w:ascii="仿宋_GB2312" w:hAnsi="宋体" w:eastAsia="仿宋_GB2312" w:cs="宋体"/>
                <w:b/>
                <w:color w:val="000000" w:themeColor="text1"/>
                <w:kern w:val="2"/>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表内资产（除衍生工具和证券融资交易外）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225988708</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218074434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-4765505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-4755443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6"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减：一级资本扣除项</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-769145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-693924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调整后的表内资产余额（衍生工具和证券融资交易除外）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220454059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212625067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的重置成本（扣除合格保证金，考虑双边净额结算协议的影响）</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153136</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136443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的潜在风险暴露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304864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171738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3"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已从资产负债表中扣除的抵质押品总和</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2"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减：因提供合格保证金形成的应收资产</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减：为客户提供清算服务时与中央交易对手交易形成的衍生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的名义本金</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99"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减：可扣除的卖出信用衍生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衍生</w:t>
            </w:r>
            <w:r>
              <w:rPr>
                <w:rFonts w:hint="eastAsia" w:ascii="仿宋_GB2312" w:hAnsi="宋体" w:eastAsia="仿宋_GB2312" w:cs="宋体"/>
                <w:b/>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b/>
                <w:bCs/>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458000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308182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证券融资交易的会计资产余额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28500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减：可以扣除的证券融资交易资产余额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证券融资交易的交易对手信用风险暴露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190559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369891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代理证券融资交易形成的证券融资交易资产余额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219059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369891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107020283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114681054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19</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减：因信用转换调整的表外项目余额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-72648446</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-77801850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20</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-274455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-306535</w:t>
            </w:r>
          </w:p>
        </w:tc>
      </w:tr>
      <w:tr>
        <w:tblPrEx>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21</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34097381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36572669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一级资本</w:t>
            </w:r>
            <w:r>
              <w:rPr>
                <w:rFonts w:hint="eastAsia" w:ascii="仿宋_GB2312" w:hAnsi="宋体" w:eastAsia="仿宋_GB2312" w:cs="宋体"/>
                <w:color w:val="000000" w:themeColor="text1"/>
                <w:kern w:val="2"/>
                <w:sz w:val="24"/>
                <w:szCs w:val="24"/>
                <w:lang w:eastAsia="zh-CN"/>
                <w14:textFill>
                  <w14:solidFill>
                    <w14:schemeClr w14:val="tx1"/>
                  </w14:solidFill>
                </w14:textFill>
              </w:rPr>
              <w:t>净额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16972455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16750693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调整后表内外资产余额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255228499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249875809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6.70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r>
              <w:rPr>
                <w:rFonts w:ascii="仿宋_GB2312" w:hAnsi="宋体" w:eastAsia="仿宋_GB2312" w:cs="宋体"/>
                <w:color w:val="000000" w:themeColor="text1"/>
                <w:kern w:val="2"/>
                <w:sz w:val="24"/>
                <w:szCs w:val="24"/>
                <w14:textFill>
                  <w14:solidFill>
                    <w14:schemeClr w14:val="tx1"/>
                  </w14:solidFill>
                </w14:textFill>
              </w:rPr>
              <w:t>a</w:t>
            </w:r>
          </w:p>
        </w:tc>
        <w:tc>
          <w:tcPr>
            <w:tcW w:w="4786" w:type="dxa"/>
            <w:tcBorders>
              <w:top w:val="single" w:color="auto" w:sz="4" w:space="0"/>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r>
              <w:rPr>
                <w:rFonts w:ascii="仿宋_GB2312" w:hAnsi="宋体" w:eastAsia="仿宋_GB2312" w:cs="宋体"/>
                <w:color w:val="000000" w:themeColor="text1"/>
                <w:kern w:val="2"/>
                <w:sz w:val="24"/>
                <w:szCs w:val="24"/>
                <w:lang w:eastAsia="zh-CN"/>
                <w14:textFill>
                  <w14:solidFill>
                    <w14:schemeClr w14:val="tx1"/>
                  </w14:solidFill>
                </w14:textFill>
              </w:rPr>
              <w:t>a</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6.65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6.70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single" w:color="auto" w:sz="4" w:space="0"/>
              <w:left w:val="nil"/>
              <w:bottom w:val="single" w:color="000000"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最低杠杆率要求</w:t>
            </w:r>
          </w:p>
        </w:tc>
        <w:tc>
          <w:tcPr>
            <w:tcW w:w="1508" w:type="dxa"/>
            <w:tcBorders>
              <w:top w:val="single" w:color="auto" w:sz="4" w:space="0"/>
              <w:left w:val="nil"/>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4.00</w:t>
            </w:r>
          </w:p>
        </w:tc>
        <w:tc>
          <w:tcPr>
            <w:tcW w:w="1509"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4.00</w:t>
            </w:r>
          </w:p>
        </w:tc>
      </w:tr>
    </w:tbl>
    <w:p>
      <w:pPr>
        <w:rPr>
          <w:rFonts w:hint="eastAsia" w:ascii="仿宋" w:hAnsi="仿宋" w:eastAsia="仿宋" w:cs="仿宋"/>
          <w:sz w:val="32"/>
          <w:szCs w:val="32"/>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D0"/>
    <w:rsid w:val="001A0A26"/>
    <w:rsid w:val="00377B0C"/>
    <w:rsid w:val="005C2E6F"/>
    <w:rsid w:val="009D130F"/>
    <w:rsid w:val="00B1399E"/>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A621877"/>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7A2703"/>
    <w:rsid w:val="1CF32A05"/>
    <w:rsid w:val="1D414265"/>
    <w:rsid w:val="1D8914B0"/>
    <w:rsid w:val="1DA61979"/>
    <w:rsid w:val="1DBB14C7"/>
    <w:rsid w:val="1DBC2476"/>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80330B"/>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B0109A7"/>
    <w:rsid w:val="4B033713"/>
    <w:rsid w:val="4B4C7B77"/>
    <w:rsid w:val="4B8550AA"/>
    <w:rsid w:val="4BC22DAE"/>
    <w:rsid w:val="4BD1705A"/>
    <w:rsid w:val="4BED0959"/>
    <w:rsid w:val="4C220DDE"/>
    <w:rsid w:val="4C8E3EBE"/>
    <w:rsid w:val="4CD931A8"/>
    <w:rsid w:val="4CE9025F"/>
    <w:rsid w:val="4CEC21F1"/>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51556FB"/>
    <w:rsid w:val="551A468B"/>
    <w:rsid w:val="55212294"/>
    <w:rsid w:val="5555589B"/>
    <w:rsid w:val="556805E1"/>
    <w:rsid w:val="556B24C0"/>
    <w:rsid w:val="556B3318"/>
    <w:rsid w:val="55A857A7"/>
    <w:rsid w:val="56590FAA"/>
    <w:rsid w:val="567E4BE9"/>
    <w:rsid w:val="56907E9A"/>
    <w:rsid w:val="56F3559A"/>
    <w:rsid w:val="56F80400"/>
    <w:rsid w:val="571E4321"/>
    <w:rsid w:val="57336284"/>
    <w:rsid w:val="57351A11"/>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2"/>
      <w:szCs w:val="22"/>
      <w:u w:val="none"/>
    </w:rPr>
  </w:style>
  <w:style w:type="character" w:customStyle="1" w:styleId="5">
    <w:name w:val="font1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user</dc:creator>
  <cp:lastModifiedBy>user</cp:lastModifiedBy>
  <dcterms:modified xsi:type="dcterms:W3CDTF">2025-04-30T07:27:48Z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